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BF1B" w14:textId="77777777" w:rsidR="001037B1" w:rsidRDefault="001037B1" w:rsidP="0010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AMY R. BITTERMAN</w:t>
      </w:r>
    </w:p>
    <w:p w14:paraId="34DB62E0" w14:textId="77777777" w:rsidR="001037B1" w:rsidRDefault="001037B1" w:rsidP="0010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 Calvert Avenue West</w:t>
      </w:r>
    </w:p>
    <w:p w14:paraId="5F6CECB6" w14:textId="77777777" w:rsidR="001037B1" w:rsidRDefault="001037B1" w:rsidP="0010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Edison, New Jersey 08820</w:t>
      </w:r>
    </w:p>
    <w:p w14:paraId="70C1EAF0" w14:textId="77777777" w:rsidR="001037B1" w:rsidRDefault="001037B1" w:rsidP="0010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(732) 548-6013</w:t>
      </w:r>
    </w:p>
    <w:p w14:paraId="5A5EFDCF" w14:textId="77777777" w:rsidR="001037B1" w:rsidRDefault="001037B1" w:rsidP="0010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 amy7833@aol.com</w:t>
      </w:r>
    </w:p>
    <w:p w14:paraId="093BDB86" w14:textId="77777777" w:rsidR="001037B1" w:rsidRDefault="001037B1" w:rsidP="001037B1">
      <w:pPr>
        <w:jc w:val="center"/>
        <w:rPr>
          <w:b/>
          <w:bCs/>
          <w:sz w:val="24"/>
          <w:szCs w:val="24"/>
        </w:rPr>
      </w:pPr>
    </w:p>
    <w:p w14:paraId="586157AE" w14:textId="77777777" w:rsidR="001037B1" w:rsidRDefault="001037B1" w:rsidP="001037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296D8A4D" w14:textId="77777777" w:rsidR="001037B1" w:rsidRDefault="001037B1" w:rsidP="001037B1">
      <w:pPr>
        <w:rPr>
          <w:sz w:val="24"/>
          <w:szCs w:val="24"/>
        </w:rPr>
      </w:pPr>
    </w:p>
    <w:p w14:paraId="6A5F6883" w14:textId="6E44B5C4" w:rsidR="001037B1" w:rsidRDefault="00275D7F" w:rsidP="001037B1">
      <w:pPr>
        <w:rPr>
          <w:sz w:val="24"/>
          <w:szCs w:val="24"/>
        </w:rPr>
      </w:pPr>
      <w:r>
        <w:rPr>
          <w:sz w:val="24"/>
          <w:szCs w:val="24"/>
        </w:rPr>
        <w:t xml:space="preserve">1988 </w:t>
      </w:r>
      <w:r w:rsidR="001037B1">
        <w:rPr>
          <w:sz w:val="24"/>
          <w:szCs w:val="24"/>
        </w:rPr>
        <w:t xml:space="preserve">Harvard Law School, Cambridge, MA; J.D. received cum laude; recipient of </w:t>
      </w:r>
      <w:r w:rsidR="00F141E2">
        <w:rPr>
          <w:sz w:val="24"/>
          <w:szCs w:val="24"/>
        </w:rPr>
        <w:t xml:space="preserve">a </w:t>
      </w:r>
      <w:r w:rsidR="001037B1">
        <w:rPr>
          <w:sz w:val="24"/>
          <w:szCs w:val="24"/>
        </w:rPr>
        <w:t xml:space="preserve">CLLA </w:t>
      </w:r>
    </w:p>
    <w:p w14:paraId="693960CC" w14:textId="660AD5B6" w:rsidR="001037B1" w:rsidRDefault="001037B1" w:rsidP="001037B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Scholarship</w:t>
      </w:r>
    </w:p>
    <w:p w14:paraId="594371F0" w14:textId="77777777" w:rsidR="001037B1" w:rsidRDefault="001037B1" w:rsidP="001037B1">
      <w:pPr>
        <w:rPr>
          <w:sz w:val="24"/>
          <w:szCs w:val="24"/>
        </w:rPr>
      </w:pPr>
    </w:p>
    <w:p w14:paraId="0B76D962" w14:textId="78633BA9" w:rsidR="001037B1" w:rsidRDefault="00275D7F" w:rsidP="001037B1">
      <w:pPr>
        <w:rPr>
          <w:sz w:val="24"/>
          <w:szCs w:val="24"/>
        </w:rPr>
      </w:pPr>
      <w:r>
        <w:rPr>
          <w:sz w:val="24"/>
          <w:szCs w:val="24"/>
        </w:rPr>
        <w:t xml:space="preserve">1983 </w:t>
      </w:r>
      <w:r w:rsidR="001037B1">
        <w:rPr>
          <w:sz w:val="24"/>
          <w:szCs w:val="24"/>
        </w:rPr>
        <w:t xml:space="preserve">Bryn Mawr College, Bryn Mawr, PA; B.A. received magna cum laude; winner Dorothy </w:t>
      </w:r>
    </w:p>
    <w:p w14:paraId="2D3F6626" w14:textId="5AB5929C" w:rsidR="001037B1" w:rsidRDefault="001037B1" w:rsidP="00F141E2">
      <w:pPr>
        <w:rPr>
          <w:sz w:val="24"/>
          <w:szCs w:val="24"/>
        </w:rPr>
      </w:pPr>
      <w:r>
        <w:rPr>
          <w:sz w:val="24"/>
          <w:szCs w:val="24"/>
        </w:rPr>
        <w:tab/>
        <w:t>Headley Prize for Art History</w:t>
      </w:r>
    </w:p>
    <w:p w14:paraId="743E9D2A" w14:textId="77777777" w:rsidR="001037B1" w:rsidRDefault="001037B1" w:rsidP="001037B1">
      <w:pPr>
        <w:rPr>
          <w:sz w:val="24"/>
          <w:szCs w:val="24"/>
        </w:rPr>
      </w:pPr>
    </w:p>
    <w:p w14:paraId="21203A8A" w14:textId="248719F3" w:rsidR="001037B1" w:rsidRDefault="00275D7F" w:rsidP="001037B1">
      <w:pPr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r w:rsidR="001037B1">
        <w:rPr>
          <w:sz w:val="24"/>
          <w:szCs w:val="24"/>
        </w:rPr>
        <w:t>Rutgers University MFA</w:t>
      </w:r>
      <w:r w:rsidR="0042793A">
        <w:rPr>
          <w:sz w:val="24"/>
          <w:szCs w:val="24"/>
        </w:rPr>
        <w:t>, Newark, NJ</w:t>
      </w:r>
      <w:r w:rsidR="001037B1">
        <w:rPr>
          <w:sz w:val="24"/>
          <w:szCs w:val="24"/>
        </w:rPr>
        <w:t xml:space="preserve"> </w:t>
      </w:r>
    </w:p>
    <w:p w14:paraId="6C72715C" w14:textId="77777777" w:rsidR="001037B1" w:rsidRDefault="001037B1" w:rsidP="001037B1">
      <w:pPr>
        <w:rPr>
          <w:sz w:val="24"/>
          <w:szCs w:val="24"/>
        </w:rPr>
      </w:pPr>
    </w:p>
    <w:p w14:paraId="7D73BD38" w14:textId="77777777" w:rsidR="001037B1" w:rsidRDefault="001037B1" w:rsidP="001037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EXPERIENCE</w:t>
      </w:r>
    </w:p>
    <w:p w14:paraId="5C2F15A3" w14:textId="77777777" w:rsidR="001037B1" w:rsidRDefault="001037B1" w:rsidP="001037B1">
      <w:pPr>
        <w:rPr>
          <w:b/>
          <w:bCs/>
          <w:sz w:val="24"/>
          <w:szCs w:val="24"/>
        </w:rPr>
      </w:pPr>
    </w:p>
    <w:p w14:paraId="155DF7A4" w14:textId="77777777" w:rsidR="001037B1" w:rsidRDefault="001037B1" w:rsidP="001037B1">
      <w:pPr>
        <w:pStyle w:val="rrr"/>
      </w:pPr>
      <w:r>
        <w:t>Fall 2002-present Legal Writing and Research faculty member at Rutgers</w:t>
      </w:r>
    </w:p>
    <w:p w14:paraId="50F217DB" w14:textId="77777777" w:rsidR="001037B1" w:rsidRDefault="001037B1" w:rsidP="001037B1">
      <w:pPr>
        <w:pStyle w:val="rrr"/>
      </w:pPr>
      <w:r>
        <w:tab/>
        <w:t>School of Law, Newark, NJ</w:t>
      </w:r>
    </w:p>
    <w:p w14:paraId="728A1F1F" w14:textId="7F9D1478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Prepared and conducted weekly lectures for 30-</w:t>
      </w:r>
      <w:r w:rsidR="006B242C">
        <w:t>40</w:t>
      </w:r>
      <w:r>
        <w:t xml:space="preserve"> students on topics  </w:t>
      </w:r>
    </w:p>
    <w:p w14:paraId="37D8DE0D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ranging from using logic in legal reasoning, analyzing and synthesizing case law,</w:t>
      </w:r>
    </w:p>
    <w:p w14:paraId="15CB60E2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distinguishing material facts from irrelevant facts, conducting research effectively,</w:t>
      </w:r>
    </w:p>
    <w:p w14:paraId="36506E82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using key and contextual facts persuasively, developing a narrative theme and theory of    </w:t>
      </w:r>
    </w:p>
    <w:p w14:paraId="46AC31BD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the case for court papers, managing adverse material and facts; incorporating policy</w:t>
      </w:r>
    </w:p>
    <w:p w14:paraId="56FD088F" w14:textId="18FF498D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and equity arguments, gathering and conducting discovery, organizing </w:t>
      </w:r>
      <w:r w:rsidR="006B242C">
        <w:t>persuasive</w:t>
      </w:r>
      <w:r>
        <w:t xml:space="preserve"> Rule                 </w:t>
      </w:r>
    </w:p>
    <w:p w14:paraId="22711666" w14:textId="733A393E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Proofs and Applications in briefs, and presenting oral reports to </w:t>
      </w:r>
      <w:proofErr w:type="gramStart"/>
      <w:r>
        <w:t>partners;</w:t>
      </w:r>
      <w:proofErr w:type="gramEnd"/>
      <w:r>
        <w:t xml:space="preserve"> </w:t>
      </w:r>
    </w:p>
    <w:p w14:paraId="677513DB" w14:textId="21D49DDC" w:rsidR="001037B1" w:rsidRDefault="001037B1" w:rsidP="001037B1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Graded and provided individual conferencing for drafts and final  </w:t>
      </w:r>
    </w:p>
    <w:p w14:paraId="1187995E" w14:textId="74CAA553" w:rsidR="001037B1" w:rsidRDefault="001037B1" w:rsidP="001037B1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   versions of memoranda, briefs, and client letters</w:t>
      </w:r>
      <w:r w:rsidR="006B242C">
        <w:t>;</w:t>
      </w:r>
      <w:r>
        <w:t xml:space="preserve"> </w:t>
      </w:r>
    </w:p>
    <w:p w14:paraId="1A1378B4" w14:textId="77777777" w:rsidR="001037B1" w:rsidRDefault="001037B1" w:rsidP="001037B1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Critiqued and graded oral arguments;</w:t>
      </w:r>
    </w:p>
    <w:p w14:paraId="3D7C0CB2" w14:textId="77777777" w:rsidR="006B242C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Drafted legal writing problems for briefs and legal memoranda using both common and </w:t>
      </w:r>
      <w:r w:rsidR="006B242C">
        <w:t xml:space="preserve"> </w:t>
      </w:r>
    </w:p>
    <w:p w14:paraId="3CFDEA73" w14:textId="7F2950A2" w:rsidR="001037B1" w:rsidRDefault="006B242C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</w:t>
      </w:r>
      <w:r w:rsidR="001037B1">
        <w:t xml:space="preserve">statutory law; </w:t>
      </w:r>
    </w:p>
    <w:p w14:paraId="74181B5C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Trained students on oral argument techniques in preparation for moot court;</w:t>
      </w:r>
    </w:p>
    <w:p w14:paraId="5BDE939A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Devised weekly oral and written exercises to prepare students for both persuasive and  </w:t>
      </w:r>
    </w:p>
    <w:p w14:paraId="04D16C77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objective legal writing;</w:t>
      </w:r>
    </w:p>
    <w:p w14:paraId="713ACBD2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Devised exercises for practice skills, including client interviews and oral partner </w:t>
      </w:r>
    </w:p>
    <w:p w14:paraId="77AA3923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presentations;</w:t>
      </w:r>
    </w:p>
    <w:p w14:paraId="4C841E58" w14:textId="0E6F67A3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Trained and supervised teaching assistants in preparation of seminars on citations</w:t>
      </w:r>
      <w:r w:rsidR="001A4F03">
        <w:t>;</w:t>
      </w:r>
    </w:p>
    <w:p w14:paraId="038CEF4A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Prepared bench memoranda for oral argument judges;</w:t>
      </w:r>
    </w:p>
    <w:p w14:paraId="50C48AC7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Provided job recommendations and bar fitness certifications for students;</w:t>
      </w:r>
    </w:p>
    <w:p w14:paraId="1F0CC42B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Counseled students on professional development;</w:t>
      </w:r>
    </w:p>
    <w:p w14:paraId="47CE7139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Provided tutoring on grammar and organization for academically underprepared   </w:t>
      </w:r>
    </w:p>
    <w:p w14:paraId="55DA7C1C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students.</w:t>
      </w:r>
    </w:p>
    <w:p w14:paraId="39D8274C" w14:textId="77777777" w:rsidR="001037B1" w:rsidRDefault="001037B1" w:rsidP="001037B1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34686261" w14:textId="77777777" w:rsidR="001037B1" w:rsidRDefault="001037B1" w:rsidP="001037B1">
      <w:pPr>
        <w:rPr>
          <w:bCs/>
          <w:sz w:val="24"/>
          <w:szCs w:val="24"/>
        </w:rPr>
      </w:pPr>
    </w:p>
    <w:p w14:paraId="2392FFED" w14:textId="77777777" w:rsidR="001037B1" w:rsidRDefault="001037B1" w:rsidP="001037B1">
      <w:pPr>
        <w:rPr>
          <w:bCs/>
          <w:sz w:val="24"/>
          <w:szCs w:val="24"/>
        </w:rPr>
      </w:pPr>
    </w:p>
    <w:p w14:paraId="5970F506" w14:textId="77777777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Fall 2013-Spring 2014 Director of Academic Support Program at Rutgers School of Law, </w:t>
      </w:r>
    </w:p>
    <w:p w14:paraId="5D74BD6C" w14:textId="5B872119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2A14FC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Newark, NJ</w:t>
      </w:r>
    </w:p>
    <w:p w14:paraId="6293B4B2" w14:textId="0747A0E7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Prepared and taught weekly fall course on writing and analytical skills for at</w:t>
      </w:r>
      <w:r w:rsidR="006B242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risk </w:t>
      </w:r>
    </w:p>
    <w:p w14:paraId="5787F00C" w14:textId="7F8BA86D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141E2">
        <w:rPr>
          <w:bCs/>
          <w:sz w:val="24"/>
          <w:szCs w:val="24"/>
        </w:rPr>
        <w:t xml:space="preserve">   </w:t>
      </w:r>
      <w:r w:rsidR="002A14FC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students, including designing grammar, logic and synthesis exercises;</w:t>
      </w:r>
    </w:p>
    <w:p w14:paraId="1510DEF8" w14:textId="7AC8B4B0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Designed and taught weekly spring course designed to help third</w:t>
      </w:r>
      <w:r w:rsidR="006B242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year students prepare </w:t>
      </w:r>
    </w:p>
    <w:p w14:paraId="43468511" w14:textId="415902F0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A14FC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for the bar examination, including lectures on how to organize effective essays, how to</w:t>
      </w:r>
    </w:p>
    <w:p w14:paraId="036BC721" w14:textId="6D59717A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2A14FC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approach multiple choice questions, how to use mind maps and other visualizing </w:t>
      </w:r>
    </w:p>
    <w:p w14:paraId="2E000E85" w14:textId="05ADBEFE" w:rsidR="006B242C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2A14FC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techniques to prepare for the bar exam</w:t>
      </w:r>
      <w:r w:rsidR="006B242C">
        <w:rPr>
          <w:bCs/>
          <w:sz w:val="24"/>
          <w:szCs w:val="24"/>
        </w:rPr>
        <w:t>;</w:t>
      </w:r>
    </w:p>
    <w:p w14:paraId="435DD1A9" w14:textId="77777777" w:rsidR="006B242C" w:rsidRDefault="006B242C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1037B1">
        <w:rPr>
          <w:bCs/>
          <w:sz w:val="24"/>
          <w:szCs w:val="24"/>
        </w:rPr>
        <w:t>resent</w:t>
      </w:r>
      <w:r>
        <w:rPr>
          <w:bCs/>
          <w:sz w:val="24"/>
          <w:szCs w:val="24"/>
        </w:rPr>
        <w:t>ed weekly</w:t>
      </w:r>
      <w:r w:rsidR="001037B1">
        <w:rPr>
          <w:bCs/>
          <w:sz w:val="24"/>
          <w:szCs w:val="24"/>
        </w:rPr>
        <w:t xml:space="preserve"> lectures covering basic areas</w:t>
      </w:r>
      <w:r w:rsidR="002A14FC">
        <w:rPr>
          <w:bCs/>
          <w:sz w:val="24"/>
          <w:szCs w:val="24"/>
        </w:rPr>
        <w:t xml:space="preserve"> </w:t>
      </w:r>
      <w:r w:rsidR="001037B1">
        <w:rPr>
          <w:bCs/>
          <w:sz w:val="24"/>
          <w:szCs w:val="24"/>
        </w:rPr>
        <w:t>of contracts, torts and criminal law</w:t>
      </w:r>
      <w:r>
        <w:rPr>
          <w:bCs/>
          <w:sz w:val="24"/>
          <w:szCs w:val="24"/>
        </w:rPr>
        <w:t>;</w:t>
      </w:r>
    </w:p>
    <w:p w14:paraId="485412BC" w14:textId="77777777" w:rsidR="006B242C" w:rsidRDefault="006B242C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Drafted and corrected weekly essay assignments;</w:t>
      </w:r>
    </w:p>
    <w:p w14:paraId="5BA64A46" w14:textId="77777777" w:rsidR="001037B1" w:rsidRDefault="001037B1" w:rsidP="001037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Provided one on one counseling for students on academic probation.</w:t>
      </w:r>
    </w:p>
    <w:p w14:paraId="59158497" w14:textId="744F9583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  <w:rPr>
          <w:b/>
          <w:bCs/>
        </w:rPr>
      </w:pPr>
    </w:p>
    <w:p w14:paraId="298C88D9" w14:textId="77777777" w:rsidR="001037B1" w:rsidRDefault="001037B1" w:rsidP="001037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Spring 2002:  Legal Writing and Research faculty at Rutgers School of Law,</w:t>
      </w:r>
    </w:p>
    <w:p w14:paraId="0F6AA734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Camden, NJ:</w:t>
      </w:r>
    </w:p>
    <w:p w14:paraId="099D3C7A" w14:textId="77777777" w:rsidR="001037B1" w:rsidRDefault="001037B1" w:rsidP="001037B1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rPr>
          <w:rFonts w:ascii="GoudyOlSt BT" w:hAnsi="GoudyOlSt BT" w:cs="GoudyOlSt BT"/>
        </w:rPr>
        <w:tab/>
      </w:r>
      <w:r>
        <w:t xml:space="preserve">Responsible for overseeing, grading and providing individual counseling for student </w:t>
      </w:r>
    </w:p>
    <w:p w14:paraId="7025CBD7" w14:textId="77777777" w:rsidR="001037B1" w:rsidRDefault="001037B1" w:rsidP="001037B1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 xml:space="preserve">         preparation of an appellate brief and oral argument;</w:t>
      </w:r>
    </w:p>
    <w:p w14:paraId="7509E7CB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Conducted classes twice a week for two sections consisting of twenty students each.</w:t>
      </w:r>
    </w:p>
    <w:p w14:paraId="180E5E25" w14:textId="77777777" w:rsidR="001037B1" w:rsidRDefault="001037B1" w:rsidP="001037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7A3E6D9B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Fall 2001:  Adjunct Professor at Rutgers University, Department of English, Writing Program, </w:t>
      </w:r>
    </w:p>
    <w:p w14:paraId="47FFCE0A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New Brunswick, NJ:</w:t>
      </w:r>
    </w:p>
    <w:p w14:paraId="3B9043DA" w14:textId="4953E8CF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Conducted eighty</w:t>
      </w:r>
      <w:r w:rsidR="001A4F03">
        <w:t>-</w:t>
      </w:r>
      <w:r>
        <w:t xml:space="preserve">minute classes twice a week for 22 students; </w:t>
      </w:r>
    </w:p>
    <w:p w14:paraId="2887E374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Responsible for grading and providing written comments on weekly essays dealing with </w:t>
      </w:r>
    </w:p>
    <w:p w14:paraId="002DAA24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 cultural, political and economic topics.  </w:t>
      </w:r>
    </w:p>
    <w:p w14:paraId="72E4E81D" w14:textId="77777777" w:rsidR="001037B1" w:rsidRDefault="001037B1" w:rsidP="001037B1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</w:p>
    <w:p w14:paraId="018DEC1E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1988-1989:  Rome, Italy; English teacher for high school students learning English as a second </w:t>
      </w:r>
      <w:r>
        <w:rPr>
          <w:sz w:val="24"/>
          <w:szCs w:val="24"/>
        </w:rPr>
        <w:tab/>
        <w:t xml:space="preserve">language.  </w:t>
      </w:r>
    </w:p>
    <w:p w14:paraId="3CA7F950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DC835D6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5FFCC15" w14:textId="0B0FC865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7787885B" w14:textId="079A2429" w:rsidR="00476F1E" w:rsidRDefault="00476F1E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72C05EBB" w14:textId="04D98A8A" w:rsidR="00FD2611" w:rsidRDefault="00FD2611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2022  “</w:t>
      </w:r>
      <w:proofErr w:type="gramEnd"/>
      <w:r>
        <w:rPr>
          <w:iCs/>
          <w:sz w:val="24"/>
          <w:szCs w:val="24"/>
        </w:rPr>
        <w:t xml:space="preserve">The Lives Under the Stones” included in an anthology of Jewish Feminist Writing </w:t>
      </w:r>
    </w:p>
    <w:p w14:paraId="58FF1F19" w14:textId="5444C1C9" w:rsidR="00FD2611" w:rsidRDefault="00FD2611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  </w:t>
      </w:r>
      <w:r w:rsidR="007764CA">
        <w:rPr>
          <w:iCs/>
          <w:sz w:val="24"/>
          <w:szCs w:val="24"/>
        </w:rPr>
        <w:t>f</w:t>
      </w:r>
      <w:r>
        <w:rPr>
          <w:iCs/>
          <w:sz w:val="24"/>
          <w:szCs w:val="24"/>
        </w:rPr>
        <w:t>orthcoming in fall 2022 from the Brandeis University Press</w:t>
      </w:r>
    </w:p>
    <w:p w14:paraId="0726B37C" w14:textId="77777777" w:rsidR="00FD2611" w:rsidRDefault="00FD2611" w:rsidP="00F45FD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457617E6" w14:textId="15E18136" w:rsidR="00330802" w:rsidRDefault="00F45FDB" w:rsidP="00F45FD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2022 </w:t>
      </w:r>
      <w:r>
        <w:rPr>
          <w:iCs/>
          <w:sz w:val="24"/>
          <w:szCs w:val="24"/>
        </w:rPr>
        <w:t>“Taking the Blinders Off – Defamiliarization as a Persuasive Tool in Brief Writing,”</w:t>
      </w:r>
      <w:r w:rsidR="0033080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</w:t>
      </w:r>
    </w:p>
    <w:p w14:paraId="50BA1DEE" w14:textId="0F2F7A57" w:rsidR="00FD2611" w:rsidRDefault="00330802" w:rsidP="00F45FD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="00F45F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</w:t>
      </w:r>
      <w:r w:rsidR="007764CA">
        <w:rPr>
          <w:iCs/>
          <w:sz w:val="24"/>
          <w:szCs w:val="24"/>
        </w:rPr>
        <w:t xml:space="preserve">    </w:t>
      </w:r>
      <w:r w:rsidR="00F45FDB" w:rsidRPr="00F45FDB">
        <w:rPr>
          <w:i/>
          <w:sz w:val="24"/>
          <w:szCs w:val="24"/>
        </w:rPr>
        <w:t>The Gonzaga Law Review</w:t>
      </w:r>
      <w:r>
        <w:rPr>
          <w:i/>
          <w:sz w:val="24"/>
          <w:szCs w:val="24"/>
        </w:rPr>
        <w:t xml:space="preserve">, </w:t>
      </w:r>
      <w:r>
        <w:rPr>
          <w:iCs/>
          <w:sz w:val="24"/>
          <w:szCs w:val="24"/>
        </w:rPr>
        <w:t>Vol. 57, Number 1 (2021/22)</w:t>
      </w:r>
      <w:r>
        <w:rPr>
          <w:i/>
          <w:sz w:val="24"/>
          <w:szCs w:val="24"/>
        </w:rPr>
        <w:t xml:space="preserve"> </w:t>
      </w:r>
      <w:r w:rsidR="00F45FDB">
        <w:rPr>
          <w:iCs/>
          <w:sz w:val="24"/>
          <w:szCs w:val="24"/>
        </w:rPr>
        <w:t xml:space="preserve"> </w:t>
      </w:r>
    </w:p>
    <w:p w14:paraId="261D94C2" w14:textId="5544CA27" w:rsidR="00C57714" w:rsidRDefault="00C57714" w:rsidP="00F45FD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</w:p>
    <w:p w14:paraId="60A1A9BE" w14:textId="20E65666" w:rsidR="00FD2611" w:rsidRDefault="00FD2611" w:rsidP="00F45FD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 xml:space="preserve">2021-2022 </w:t>
      </w:r>
      <w:r w:rsidRPr="00FD2611">
        <w:rPr>
          <w:color w:val="000000"/>
          <w:sz w:val="24"/>
          <w:szCs w:val="24"/>
          <w:shd w:val="clear" w:color="auto" w:fill="FFFFFF"/>
        </w:rPr>
        <w:t>Deputy Editor for the ABA Section of International Law Year in Review</w:t>
      </w:r>
    </w:p>
    <w:p w14:paraId="6EFD7DB1" w14:textId="77777777" w:rsidR="00FD2611" w:rsidRDefault="00FD2611" w:rsidP="00F45FD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  <w:shd w:val="clear" w:color="auto" w:fill="FFFFFF"/>
        </w:rPr>
      </w:pPr>
    </w:p>
    <w:p w14:paraId="45D99CEA" w14:textId="2BD74942" w:rsidR="00476F1E" w:rsidRDefault="00476F1E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2020 “What’s in a Name – The Persuasive Use of Nomenclature in Briefs,” </w:t>
      </w:r>
      <w:r w:rsidR="00F45FDB">
        <w:rPr>
          <w:bCs/>
          <w:sz w:val="24"/>
          <w:szCs w:val="24"/>
        </w:rPr>
        <w:t xml:space="preserve">published </w:t>
      </w:r>
      <w:r>
        <w:rPr>
          <w:bCs/>
          <w:sz w:val="24"/>
          <w:szCs w:val="24"/>
        </w:rPr>
        <w:t xml:space="preserve">in the </w:t>
      </w:r>
    </w:p>
    <w:p w14:paraId="3E156F6E" w14:textId="393EB8E3" w:rsidR="00476F1E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Fall 2020 issue of </w:t>
      </w:r>
      <w:r>
        <w:rPr>
          <w:i/>
          <w:sz w:val="24"/>
          <w:szCs w:val="24"/>
        </w:rPr>
        <w:t xml:space="preserve">The Second </w:t>
      </w:r>
      <w:r w:rsidRPr="00415D11">
        <w:rPr>
          <w:i/>
          <w:sz w:val="24"/>
          <w:szCs w:val="24"/>
        </w:rPr>
        <w:t>Draft</w:t>
      </w:r>
      <w:r>
        <w:rPr>
          <w:iCs/>
          <w:sz w:val="24"/>
          <w:szCs w:val="24"/>
        </w:rPr>
        <w:t xml:space="preserve">, a peer </w:t>
      </w:r>
      <w:r w:rsidR="006B242C">
        <w:rPr>
          <w:iCs/>
          <w:sz w:val="24"/>
          <w:szCs w:val="24"/>
        </w:rPr>
        <w:t>edited</w:t>
      </w:r>
      <w:r>
        <w:rPr>
          <w:iCs/>
          <w:sz w:val="24"/>
          <w:szCs w:val="24"/>
        </w:rPr>
        <w:t xml:space="preserve"> quarterly published by the Legal Writing Institute</w:t>
      </w:r>
    </w:p>
    <w:p w14:paraId="02628554" w14:textId="18A1A6FC" w:rsidR="00476F1E" w:rsidRDefault="00476F1E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</w:p>
    <w:p w14:paraId="174C341C" w14:textId="77777777" w:rsidR="00476F1E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2015  </w:t>
      </w:r>
      <w:r w:rsidR="008F00A4"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In the Beginning</w:t>
      </w:r>
      <w:r w:rsidR="00476F1E">
        <w:rPr>
          <w:sz w:val="24"/>
          <w:szCs w:val="24"/>
        </w:rPr>
        <w:t>;  Drafting Effective Preliminary Statements</w:t>
      </w:r>
      <w:r>
        <w:rPr>
          <w:sz w:val="24"/>
          <w:szCs w:val="24"/>
        </w:rPr>
        <w:t xml:space="preserve">,” </w:t>
      </w:r>
      <w:r w:rsidRPr="00F45FDB">
        <w:rPr>
          <w:i/>
          <w:iCs/>
          <w:sz w:val="24"/>
          <w:szCs w:val="24"/>
        </w:rPr>
        <w:t>Seton Hall Law Review</w:t>
      </w:r>
      <w:r>
        <w:rPr>
          <w:sz w:val="24"/>
          <w:szCs w:val="24"/>
        </w:rPr>
        <w:t xml:space="preserve">, </w:t>
      </w:r>
      <w:r w:rsidR="00476F1E">
        <w:rPr>
          <w:sz w:val="24"/>
          <w:szCs w:val="24"/>
        </w:rPr>
        <w:t xml:space="preserve">  </w:t>
      </w:r>
    </w:p>
    <w:p w14:paraId="61FC8A9E" w14:textId="7406F401" w:rsidR="001037B1" w:rsidRDefault="00476F1E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37B1">
        <w:rPr>
          <w:sz w:val="24"/>
          <w:szCs w:val="24"/>
        </w:rPr>
        <w:t>Vol. 45, Number 4 (2015)</w:t>
      </w:r>
    </w:p>
    <w:p w14:paraId="49CBB97B" w14:textId="27978BE9" w:rsidR="004C7CEF" w:rsidRDefault="004C7CEF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2E719D0" w14:textId="77777777" w:rsidR="004C7CEF" w:rsidRDefault="004C7CEF" w:rsidP="004C7CE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2015    Received a special mention for the Pushcart Prize</w:t>
      </w:r>
    </w:p>
    <w:p w14:paraId="305ECC3B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FCDBE70" w14:textId="668E680C" w:rsidR="001037B1" w:rsidRPr="00964AF8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2015   </w:t>
      </w:r>
      <w:r w:rsidR="00476F1E">
        <w:rPr>
          <w:sz w:val="24"/>
          <w:szCs w:val="24"/>
        </w:rPr>
        <w:t>“</w:t>
      </w:r>
      <w:r>
        <w:rPr>
          <w:sz w:val="24"/>
          <w:szCs w:val="24"/>
        </w:rPr>
        <w:t>Brief-a-Palooza,</w:t>
      </w:r>
      <w:r w:rsidR="00476F1E">
        <w:rPr>
          <w:sz w:val="24"/>
          <w:szCs w:val="24"/>
        </w:rPr>
        <w:t xml:space="preserve">” </w:t>
      </w:r>
      <w:r>
        <w:rPr>
          <w:i/>
          <w:sz w:val="24"/>
          <w:szCs w:val="24"/>
        </w:rPr>
        <w:t>The Second Draft</w:t>
      </w:r>
      <w:r>
        <w:rPr>
          <w:sz w:val="24"/>
          <w:szCs w:val="24"/>
        </w:rPr>
        <w:t xml:space="preserve"> Vol. 28, No. 2 (Legal Writing Institute)</w:t>
      </w:r>
    </w:p>
    <w:p w14:paraId="71159830" w14:textId="77777777" w:rsidR="004C7CEF" w:rsidRDefault="004C7CEF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CDA0D4A" w14:textId="56D629FC" w:rsidR="00476F1E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2014</w:t>
      </w:r>
      <w:proofErr w:type="gramStart"/>
      <w:r>
        <w:rPr>
          <w:sz w:val="24"/>
          <w:szCs w:val="24"/>
        </w:rPr>
        <w:t xml:space="preserve">   </w:t>
      </w:r>
      <w:r w:rsidR="00476F1E"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A Tale of Two Outlines,” Winter 2014 issue of</w:t>
      </w:r>
      <w:r w:rsidR="008F00A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Perspectives, </w:t>
      </w:r>
      <w:r>
        <w:rPr>
          <w:sz w:val="24"/>
          <w:szCs w:val="24"/>
        </w:rPr>
        <w:t xml:space="preserve">published by Thomson </w:t>
      </w:r>
    </w:p>
    <w:p w14:paraId="493CE5D2" w14:textId="3671C782" w:rsidR="001037B1" w:rsidRDefault="00476F1E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037B1">
        <w:rPr>
          <w:sz w:val="24"/>
          <w:szCs w:val="24"/>
        </w:rPr>
        <w:t>Reuters</w:t>
      </w:r>
    </w:p>
    <w:p w14:paraId="11E261DE" w14:textId="77777777" w:rsidR="004C7CEF" w:rsidRDefault="004C7CEF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30ADF5F" w14:textId="647C5C00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2013   </w:t>
      </w:r>
      <w:r>
        <w:rPr>
          <w:sz w:val="24"/>
          <w:szCs w:val="24"/>
        </w:rPr>
        <w:tab/>
        <w:t>Rec</w:t>
      </w:r>
      <w:r w:rsidR="006B242C">
        <w:rPr>
          <w:sz w:val="24"/>
          <w:szCs w:val="24"/>
        </w:rPr>
        <w:t>eived</w:t>
      </w:r>
      <w:r>
        <w:rPr>
          <w:sz w:val="24"/>
          <w:szCs w:val="24"/>
        </w:rPr>
        <w:t xml:space="preserve"> a scholarship grant from the American Association of Legal Writing                               </w:t>
      </w:r>
    </w:p>
    <w:p w14:paraId="3328317B" w14:textId="3793B2E4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Directors (“ALWD”) </w:t>
      </w:r>
    </w:p>
    <w:p w14:paraId="27FEF9BA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b/>
          <w:sz w:val="24"/>
          <w:szCs w:val="24"/>
        </w:rPr>
      </w:pPr>
    </w:p>
    <w:p w14:paraId="7BBF1754" w14:textId="470CE4CA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2011</w:t>
      </w:r>
      <w:proofErr w:type="gramStart"/>
      <w:r>
        <w:rPr>
          <w:sz w:val="24"/>
          <w:szCs w:val="24"/>
        </w:rPr>
        <w:t xml:space="preserve">   </w:t>
      </w:r>
      <w:r w:rsidR="001A4F03">
        <w:rPr>
          <w:sz w:val="24"/>
          <w:szCs w:val="24"/>
        </w:rPr>
        <w:t>“</w:t>
      </w:r>
      <w:proofErr w:type="gramEnd"/>
      <w:r w:rsidR="001A4F03">
        <w:rPr>
          <w:sz w:val="24"/>
          <w:szCs w:val="24"/>
        </w:rPr>
        <w:t>S</w:t>
      </w:r>
      <w:r>
        <w:rPr>
          <w:sz w:val="24"/>
          <w:szCs w:val="24"/>
        </w:rPr>
        <w:t xml:space="preserve">ettling Art Law Disputes”, </w:t>
      </w:r>
      <w:r w:rsidRPr="00F45FDB">
        <w:rPr>
          <w:i/>
          <w:iCs/>
          <w:sz w:val="24"/>
          <w:szCs w:val="24"/>
        </w:rPr>
        <w:t>Villanova Sports and Entertainment Law Journal</w:t>
      </w:r>
      <w:r>
        <w:rPr>
          <w:sz w:val="24"/>
          <w:szCs w:val="24"/>
        </w:rPr>
        <w:t xml:space="preserve">, Vol. 19, </w:t>
      </w:r>
    </w:p>
    <w:p w14:paraId="6CEEEBA5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Issue 1 (2012)</w:t>
      </w:r>
    </w:p>
    <w:p w14:paraId="24D31C25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51EB6D04" w14:textId="29127C3B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r w:rsidR="00476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“The Rule-Proof Variations”, </w:t>
      </w:r>
      <w:r>
        <w:rPr>
          <w:i/>
          <w:sz w:val="24"/>
          <w:szCs w:val="24"/>
        </w:rPr>
        <w:t xml:space="preserve">Perspectives, </w:t>
      </w:r>
      <w:r>
        <w:rPr>
          <w:sz w:val="24"/>
          <w:szCs w:val="24"/>
        </w:rPr>
        <w:t>Thomson Reuters, Vol. 18 No. 2 and 3</w:t>
      </w:r>
    </w:p>
    <w:p w14:paraId="4FC2076C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1A39353" w14:textId="4534B974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sz w:val="24"/>
          <w:szCs w:val="24"/>
        </w:rPr>
      </w:pPr>
      <w:r>
        <w:rPr>
          <w:sz w:val="24"/>
          <w:szCs w:val="24"/>
        </w:rPr>
        <w:t>2001</w:t>
      </w:r>
      <w:r w:rsidR="00476F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Contributed chapter on alternate dispute resolution for the book, </w:t>
      </w:r>
      <w:r>
        <w:rPr>
          <w:i/>
          <w:iCs/>
          <w:sz w:val="24"/>
          <w:szCs w:val="24"/>
        </w:rPr>
        <w:t xml:space="preserve">A Practical Guide to NJ </w:t>
      </w:r>
      <w:r>
        <w:rPr>
          <w:i/>
          <w:iCs/>
          <w:sz w:val="24"/>
          <w:szCs w:val="24"/>
        </w:rPr>
        <w:tab/>
        <w:t>Employment Law:  The Employer’s Resource</w:t>
      </w:r>
      <w:r>
        <w:rPr>
          <w:iCs/>
          <w:sz w:val="24"/>
          <w:szCs w:val="24"/>
        </w:rPr>
        <w:t xml:space="preserve"> published by NJBIA.</w:t>
      </w:r>
    </w:p>
    <w:p w14:paraId="5B57AFDE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E02B3E2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2000:  Edited year-end review of developments in environmental contamination coverage for</w:t>
      </w:r>
    </w:p>
    <w:p w14:paraId="58BBD5F1" w14:textId="55B2689B" w:rsidR="001037B1" w:rsidRDefault="00F45FDB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37B1" w:rsidRPr="00F45FDB">
        <w:rPr>
          <w:i/>
          <w:iCs/>
          <w:sz w:val="24"/>
          <w:szCs w:val="24"/>
        </w:rPr>
        <w:t>Mealey’s Insurance Review</w:t>
      </w:r>
      <w:r w:rsidR="001037B1">
        <w:rPr>
          <w:sz w:val="24"/>
          <w:szCs w:val="24"/>
        </w:rPr>
        <w:t>.</w:t>
      </w:r>
    </w:p>
    <w:p w14:paraId="390B6D85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6756189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1995-1996:  Editor and Writer for the </w:t>
      </w:r>
      <w:r>
        <w:rPr>
          <w:i/>
          <w:iCs/>
          <w:sz w:val="24"/>
          <w:szCs w:val="24"/>
        </w:rPr>
        <w:t xml:space="preserve">International Law Newsletter </w:t>
      </w:r>
      <w:r>
        <w:rPr>
          <w:sz w:val="24"/>
          <w:szCs w:val="24"/>
        </w:rPr>
        <w:t xml:space="preserve">of the New Jersey Bar </w:t>
      </w:r>
    </w:p>
    <w:p w14:paraId="602B6C8E" w14:textId="5865798A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Association.  Responsibilities included editing contributions</w:t>
      </w:r>
      <w:r w:rsidR="006B242C">
        <w:rPr>
          <w:sz w:val="24"/>
          <w:szCs w:val="24"/>
        </w:rPr>
        <w:t>,</w:t>
      </w:r>
      <w:r>
        <w:rPr>
          <w:sz w:val="24"/>
          <w:szCs w:val="24"/>
        </w:rPr>
        <w:t xml:space="preserve"> and drafting articles on </w:t>
      </w:r>
    </w:p>
    <w:p w14:paraId="7CF06EBB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topics ranging from legal reforms in Myanmar to the U.S. embargo of Cuba and Iran.</w:t>
      </w:r>
    </w:p>
    <w:p w14:paraId="2ED4F266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A63ED46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1995-1996:  Legal columnist for </w:t>
      </w:r>
      <w:r>
        <w:rPr>
          <w:i/>
          <w:iCs/>
          <w:sz w:val="24"/>
          <w:szCs w:val="24"/>
        </w:rPr>
        <w:t xml:space="preserve">The Medical Herald.  </w:t>
      </w:r>
      <w:r>
        <w:rPr>
          <w:sz w:val="24"/>
          <w:szCs w:val="24"/>
        </w:rPr>
        <w:t xml:space="preserve">Wrote a regular column on changes in </w:t>
      </w:r>
    </w:p>
    <w:p w14:paraId="26927571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tort and malpractice law affecting the medical community.</w:t>
      </w:r>
    </w:p>
    <w:p w14:paraId="5BB02FD0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1272E82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1995 and 1996:  Co-editor of the New Jersey Institute for Continuing Legal Education’s Handbook on </w:t>
      </w:r>
      <w:r>
        <w:rPr>
          <w:i/>
          <w:iCs/>
          <w:sz w:val="24"/>
          <w:szCs w:val="24"/>
        </w:rPr>
        <w:t>Law and Literature</w:t>
      </w:r>
      <w:r>
        <w:rPr>
          <w:sz w:val="24"/>
          <w:szCs w:val="24"/>
        </w:rPr>
        <w:t xml:space="preserve">. </w:t>
      </w:r>
    </w:p>
    <w:p w14:paraId="272FF2F1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</w:rPr>
      </w:pPr>
    </w:p>
    <w:p w14:paraId="7587C67D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1996:  Contributed chapter on the Entire Controversy Rule to 1996 handbook on bankruptcy </w:t>
      </w:r>
      <w:r>
        <w:rPr>
          <w:sz w:val="24"/>
          <w:szCs w:val="24"/>
        </w:rPr>
        <w:tab/>
        <w:t>law published by the New Jersey Institute for Continuing Legal Education.</w:t>
      </w:r>
    </w:p>
    <w:p w14:paraId="74D6996D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7C8D9B7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1995-1996:  Drafted the bi-annual </w:t>
      </w:r>
      <w:r>
        <w:rPr>
          <w:i/>
          <w:iCs/>
          <w:sz w:val="24"/>
          <w:szCs w:val="24"/>
        </w:rPr>
        <w:t>New Jersey Products Liability Alert</w:t>
      </w:r>
      <w:r>
        <w:rPr>
          <w:sz w:val="24"/>
          <w:szCs w:val="24"/>
        </w:rPr>
        <w:t xml:space="preserve"> published by </w:t>
      </w:r>
      <w:r>
        <w:rPr>
          <w:sz w:val="24"/>
          <w:szCs w:val="24"/>
        </w:rPr>
        <w:tab/>
        <w:t xml:space="preserve">Herrick Feinstein.  </w:t>
      </w:r>
    </w:p>
    <w:p w14:paraId="7E0D530E" w14:textId="77777777" w:rsidR="00F141E2" w:rsidRDefault="00F141E2" w:rsidP="00F141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12DD1A2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1996:  Contributed article on the Self-Critical Analysis Privilege to </w:t>
      </w:r>
      <w:r>
        <w:rPr>
          <w:i/>
          <w:iCs/>
          <w:sz w:val="24"/>
          <w:szCs w:val="24"/>
        </w:rPr>
        <w:t>Leader’s Product Liability</w:t>
      </w:r>
    </w:p>
    <w:p w14:paraId="75CFF543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Law and Strategy.</w:t>
      </w:r>
    </w:p>
    <w:p w14:paraId="4600FB22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EAF217E" w14:textId="45F68F8F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January 1992-April 1992: </w:t>
      </w:r>
      <w:r w:rsidR="00F14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Assistant for </w:t>
      </w:r>
      <w:r>
        <w:rPr>
          <w:i/>
          <w:iCs/>
          <w:sz w:val="24"/>
          <w:szCs w:val="24"/>
        </w:rPr>
        <w:t>Supreme Court Watch</w:t>
      </w:r>
      <w:r>
        <w:rPr>
          <w:sz w:val="24"/>
          <w:szCs w:val="24"/>
        </w:rPr>
        <w:t xml:space="preserve"> and </w:t>
      </w:r>
      <w:r>
        <w:rPr>
          <w:i/>
          <w:iCs/>
          <w:sz w:val="24"/>
          <w:szCs w:val="24"/>
        </w:rPr>
        <w:t xml:space="preserve">The Nation.  </w:t>
      </w:r>
      <w:r>
        <w:rPr>
          <w:sz w:val="24"/>
          <w:szCs w:val="24"/>
        </w:rPr>
        <w:t xml:space="preserve">Responsibilities </w:t>
      </w:r>
      <w:r>
        <w:rPr>
          <w:sz w:val="24"/>
          <w:szCs w:val="24"/>
        </w:rPr>
        <w:tab/>
        <w:t>included drafting an article on Supreme Court decisions on abortion</w:t>
      </w:r>
      <w:r w:rsidR="009F244B">
        <w:rPr>
          <w:sz w:val="24"/>
          <w:szCs w:val="24"/>
        </w:rPr>
        <w:t>,</w:t>
      </w:r>
      <w:r>
        <w:rPr>
          <w:sz w:val="24"/>
          <w:szCs w:val="24"/>
        </w:rPr>
        <w:t xml:space="preserve"> and providing </w:t>
      </w:r>
      <w:r>
        <w:rPr>
          <w:sz w:val="24"/>
          <w:szCs w:val="24"/>
        </w:rPr>
        <w:tab/>
        <w:t xml:space="preserve">editorial and research assistance for a cover article in </w:t>
      </w:r>
      <w:r>
        <w:rPr>
          <w:i/>
          <w:iCs/>
          <w:sz w:val="24"/>
          <w:szCs w:val="24"/>
        </w:rPr>
        <w:t xml:space="preserve">The Nation </w:t>
      </w:r>
      <w:r>
        <w:rPr>
          <w:sz w:val="24"/>
          <w:szCs w:val="24"/>
        </w:rPr>
        <w:t xml:space="preserve">about the Rainbow </w:t>
      </w:r>
    </w:p>
    <w:p w14:paraId="0FA4A5F5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Lobby and the presidential campaign of Lenore Fulani.</w:t>
      </w:r>
    </w:p>
    <w:p w14:paraId="3A7F70E9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CAD16A6" w14:textId="577F82AD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Short fiction published in various magazines and reviews, including </w:t>
      </w:r>
      <w:r>
        <w:rPr>
          <w:i/>
          <w:sz w:val="24"/>
          <w:szCs w:val="24"/>
        </w:rPr>
        <w:t xml:space="preserve">The Cream City Review, Chicago Quarterly Review, Lilith, The Sand Hill Review. </w:t>
      </w:r>
      <w:r w:rsidR="004C7CEF">
        <w:rPr>
          <w:i/>
          <w:sz w:val="24"/>
          <w:szCs w:val="24"/>
        </w:rPr>
        <w:t xml:space="preserve">The Crescent Review, Switchback, </w:t>
      </w:r>
      <w:r>
        <w:rPr>
          <w:i/>
          <w:sz w:val="24"/>
          <w:szCs w:val="24"/>
        </w:rPr>
        <w:lastRenderedPageBreak/>
        <w:t xml:space="preserve">Emrys Journal, Poetica, The G.W. Review, The Manhattanville Review, The </w:t>
      </w:r>
      <w:proofErr w:type="gramStart"/>
      <w:r>
        <w:rPr>
          <w:i/>
          <w:sz w:val="24"/>
          <w:szCs w:val="24"/>
        </w:rPr>
        <w:t>William</w:t>
      </w:r>
      <w:proofErr w:type="gramEnd"/>
      <w:r>
        <w:rPr>
          <w:i/>
          <w:sz w:val="24"/>
          <w:szCs w:val="24"/>
        </w:rPr>
        <w:t xml:space="preserve"> and Mary Review,</w:t>
      </w:r>
      <w:r w:rsidR="0042793A">
        <w:rPr>
          <w:i/>
          <w:sz w:val="24"/>
          <w:szCs w:val="24"/>
        </w:rPr>
        <w:t xml:space="preserve"> CCAR</w:t>
      </w:r>
      <w:r w:rsidR="001B1519">
        <w:rPr>
          <w:i/>
          <w:sz w:val="24"/>
          <w:szCs w:val="24"/>
        </w:rPr>
        <w:t xml:space="preserve"> Journal</w:t>
      </w:r>
      <w:r w:rsidR="0042793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Folio </w:t>
      </w:r>
      <w:r>
        <w:rPr>
          <w:sz w:val="24"/>
          <w:szCs w:val="24"/>
        </w:rPr>
        <w:t xml:space="preserve">and </w:t>
      </w:r>
      <w:r>
        <w:rPr>
          <w:i/>
          <w:sz w:val="24"/>
          <w:szCs w:val="24"/>
        </w:rPr>
        <w:t>Kerem</w:t>
      </w:r>
      <w:r>
        <w:rPr>
          <w:sz w:val="24"/>
          <w:szCs w:val="24"/>
        </w:rPr>
        <w:t>.</w:t>
      </w:r>
    </w:p>
    <w:p w14:paraId="51C51D4F" w14:textId="77777777" w:rsidR="005C1495" w:rsidRDefault="005C1495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41B0752" w14:textId="3863E30B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 EXPERIENCE</w:t>
      </w:r>
    </w:p>
    <w:p w14:paraId="4BF4B778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062F675D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June 1992-July 1994 and January 1997-December 2001:  Litigation Associate, Lowenstein, Sandler PC, </w:t>
      </w:r>
    </w:p>
    <w:p w14:paraId="639D1C6C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Roseland, NJ:</w:t>
      </w:r>
    </w:p>
    <w:p w14:paraId="1D583992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Handled breach of contract, negligence and criminal matters from their </w:t>
      </w:r>
    </w:p>
    <w:p w14:paraId="5CA563D0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inception through trial or settlement, including interviewing and counseling clients;</w:t>
      </w:r>
    </w:p>
    <w:p w14:paraId="4FF3113B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Conducted trials in fraud/breach of contract, negligence and criminal actions;</w:t>
      </w:r>
    </w:p>
    <w:p w14:paraId="3AE8E923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Prepared witnesses for both trial and deposition in breach of contract, fraud, cultural </w:t>
      </w:r>
    </w:p>
    <w:p w14:paraId="1444C25A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repatriation, insurance coverage and civil rights actions;</w:t>
      </w:r>
    </w:p>
    <w:p w14:paraId="2CE0B9FB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Defended and took depositions in insurance coverage, rent control, contract, and cultural </w:t>
      </w:r>
    </w:p>
    <w:p w14:paraId="444BB05E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repatriation cases;</w:t>
      </w:r>
    </w:p>
    <w:p w14:paraId="26B9EC5A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Drafted briefs, represented clients at court and settlement conferences, and argued</w:t>
      </w:r>
    </w:p>
    <w:p w14:paraId="45AD093E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motions in a variety of litigation matters, including antitrust, insurance coverage,   </w:t>
      </w:r>
    </w:p>
    <w:p w14:paraId="1A48737B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contract, unfair competition, rent control, libel, fraud, copyright, accountant malpractice </w:t>
      </w:r>
    </w:p>
    <w:p w14:paraId="6882F4FF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and cultural property actions;</w:t>
      </w:r>
    </w:p>
    <w:p w14:paraId="02FDC723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Supervised and evaluated the research and writing of junior associates on a variety of </w:t>
      </w:r>
    </w:p>
    <w:p w14:paraId="5CCD3DCA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litigation cases, including civil rights claims and contract matters;</w:t>
      </w:r>
    </w:p>
    <w:p w14:paraId="48C85171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Organized and supervised assignments for summer associates and evaluated their work </w:t>
      </w:r>
    </w:p>
    <w:p w14:paraId="47E92B7A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product;</w:t>
      </w:r>
    </w:p>
    <w:p w14:paraId="5735AF7A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Supervised discovery on numerous litigation matters, drafted and responded to </w:t>
      </w:r>
    </w:p>
    <w:p w14:paraId="4199B216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interrogatories in breach of contract, insurance coverage, fraud, cultural repatriation and </w:t>
      </w:r>
    </w:p>
    <w:p w14:paraId="4051DCDE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civil rights cases.</w:t>
      </w:r>
    </w:p>
    <w:p w14:paraId="1F93198D" w14:textId="77777777" w:rsidR="00F141E2" w:rsidRDefault="00F141E2" w:rsidP="00F141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947F516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August 1994-December 1996:  Litigation Associate, Herrick Feinstein, New York, NY and Princeton, NJ.  </w:t>
      </w:r>
    </w:p>
    <w:p w14:paraId="0892360C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Conducted arbitrations and trials for breach of contract, fraud, and negligence cases; </w:t>
      </w:r>
    </w:p>
    <w:p w14:paraId="6C3010CC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Acted as the Plainsboro Township public defender, which required weekly court </w:t>
      </w:r>
    </w:p>
    <w:p w14:paraId="0B0142EC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appearances and independent management of cases, several of which went to trial;</w:t>
      </w:r>
    </w:p>
    <w:p w14:paraId="4A70FEEC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Interviewed and hired economics experts for a complex antitrust matter and archaeology </w:t>
      </w:r>
    </w:p>
    <w:p w14:paraId="6BF07D7F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 experts for cultural repatriation cases;</w:t>
      </w:r>
    </w:p>
    <w:p w14:paraId="040B6235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>Conducted and defended depositions in fraud, antitrust, product liability, defamation and</w:t>
      </w:r>
    </w:p>
    <w:p w14:paraId="43C3427A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  cultural repatriation cases;</w:t>
      </w:r>
    </w:p>
    <w:p w14:paraId="34DA1724" w14:textId="77777777" w:rsidR="00F141E2" w:rsidRDefault="00F141E2" w:rsidP="00F141E2">
      <w:pPr>
        <w:pStyle w:val="Outline001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>
        <w:t xml:space="preserve">Participated in a tort reform panel organized by the State of New Jersey. </w:t>
      </w:r>
    </w:p>
    <w:p w14:paraId="2DB68B3C" w14:textId="77777777" w:rsidR="00F141E2" w:rsidRDefault="00F141E2" w:rsidP="00F141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</w:rPr>
      </w:pPr>
    </w:p>
    <w:p w14:paraId="4F083764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October 1989-May 1992:  Litigation Associate, Winthrop, Stimson, Putnam &amp; Roberts, New</w:t>
      </w:r>
    </w:p>
    <w:p w14:paraId="0941D2D2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York, NY.  Responsibilities included drafting briefs and legal memoranda on a variety of </w:t>
      </w:r>
      <w:r>
        <w:rPr>
          <w:sz w:val="24"/>
          <w:szCs w:val="24"/>
        </w:rPr>
        <w:tab/>
        <w:t xml:space="preserve">litigation matters, including trust and estate, tax, accountant malpractice and fraud cases. </w:t>
      </w:r>
    </w:p>
    <w:p w14:paraId="3D416D73" w14:textId="77777777" w:rsidR="00F141E2" w:rsidRDefault="00F141E2" w:rsidP="00F141E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950C774" w14:textId="02F6062E" w:rsidR="00492BE4" w:rsidRPr="00492BE4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INSTITUTIONAL </w:t>
      </w:r>
      <w:r w:rsidR="00FD2611">
        <w:rPr>
          <w:b/>
          <w:sz w:val="24"/>
          <w:szCs w:val="24"/>
        </w:rPr>
        <w:t xml:space="preserve">AND COMMUNITY </w:t>
      </w:r>
      <w:r>
        <w:rPr>
          <w:b/>
          <w:sz w:val="24"/>
          <w:szCs w:val="24"/>
        </w:rPr>
        <w:t>SERVICE</w:t>
      </w:r>
    </w:p>
    <w:p w14:paraId="1371ABFE" w14:textId="5A4287F7" w:rsidR="00476F1E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626B2BB1" w14:textId="0D406C68" w:rsidR="00FD2611" w:rsidRDefault="00FD2611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January 2022 and 2021 – Led Writing Workshop for the Rutgers Law School MSP Program’s</w:t>
      </w:r>
    </w:p>
    <w:p w14:paraId="44780941" w14:textId="77777777" w:rsidR="00FD2611" w:rsidRDefault="00FD2611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Pre-Law Diversity Conference</w:t>
      </w:r>
    </w:p>
    <w:p w14:paraId="4C07E84A" w14:textId="56AFD681" w:rsidR="00FD2611" w:rsidRDefault="00FD2611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32C50102" w14:textId="0CED4347" w:rsidR="00CE09CA" w:rsidRDefault="00CE09CA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Fall 2021 – present - Acted as Community Liaison for the Anti-Defamation League’s</w:t>
      </w:r>
    </w:p>
    <w:p w14:paraId="0C300A88" w14:textId="7804D934" w:rsidR="00CE09CA" w:rsidRDefault="00CE09CA" w:rsidP="00FD26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Anti-Bigotry Committee     </w:t>
      </w:r>
    </w:p>
    <w:p w14:paraId="28C6336E" w14:textId="77777777" w:rsidR="00CE09CA" w:rsidRDefault="00CE09CA" w:rsidP="00492BE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04E57183" w14:textId="4CF0777E" w:rsidR="00492BE4" w:rsidRDefault="00492BE4" w:rsidP="00492BE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August 2021- Led first-year student discussion of Michelle Alexander’s “The New Jim Crow”</w:t>
      </w:r>
    </w:p>
    <w:p w14:paraId="4ECA7B9F" w14:textId="48F56212" w:rsidR="0042793A" w:rsidRDefault="0042793A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4566E9B2" w14:textId="7F2F1974" w:rsidR="002A14FC" w:rsidRDefault="002A14FC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August 2020 – Led first-year student discussion of </w:t>
      </w:r>
      <w:r w:rsidR="008861C1">
        <w:rPr>
          <w:bCs/>
          <w:sz w:val="24"/>
          <w:szCs w:val="24"/>
        </w:rPr>
        <w:t xml:space="preserve">Bryan Stevenson’s </w:t>
      </w:r>
      <w:r>
        <w:rPr>
          <w:bCs/>
          <w:sz w:val="24"/>
          <w:szCs w:val="24"/>
        </w:rPr>
        <w:t>“Just Mercy”</w:t>
      </w:r>
    </w:p>
    <w:p w14:paraId="131062A4" w14:textId="76A4E1F3" w:rsidR="00591C0A" w:rsidRDefault="00591C0A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1638D63D" w14:textId="0D036D29" w:rsidR="00F45FDB" w:rsidRDefault="00591C0A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June 201</w:t>
      </w:r>
      <w:r w:rsidR="00F120D5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:  Presented lecture on drafting Preliminary Statements to </w:t>
      </w:r>
      <w:r w:rsidR="005C1495">
        <w:rPr>
          <w:bCs/>
          <w:sz w:val="24"/>
          <w:szCs w:val="24"/>
        </w:rPr>
        <w:t xml:space="preserve">the </w:t>
      </w:r>
      <w:r w:rsidR="00F45FDB">
        <w:rPr>
          <w:bCs/>
          <w:sz w:val="24"/>
          <w:szCs w:val="24"/>
        </w:rPr>
        <w:t xml:space="preserve">New Jersey Public   </w:t>
      </w:r>
    </w:p>
    <w:p w14:paraId="2E7D2635" w14:textId="0FC20D1E" w:rsidR="00591C0A" w:rsidRDefault="00F45FDB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Defenders Office in Newark, NJ</w:t>
      </w:r>
    </w:p>
    <w:p w14:paraId="3097166A" w14:textId="2F43B687" w:rsidR="00591C0A" w:rsidRDefault="00591C0A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53BE2099" w14:textId="62A4D9A4" w:rsidR="00591C0A" w:rsidRDefault="00591C0A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July 2017:  Participated in Rutgers</w:t>
      </w:r>
      <w:r w:rsidR="008B1CF3">
        <w:rPr>
          <w:bCs/>
          <w:sz w:val="24"/>
          <w:szCs w:val="24"/>
        </w:rPr>
        <w:t xml:space="preserve"> University</w:t>
      </w:r>
      <w:r>
        <w:rPr>
          <w:bCs/>
          <w:sz w:val="24"/>
          <w:szCs w:val="24"/>
        </w:rPr>
        <w:t xml:space="preserve"> reading series in Military Park in Newark, NJ</w:t>
      </w:r>
    </w:p>
    <w:p w14:paraId="230287AE" w14:textId="331BD715" w:rsidR="00591C0A" w:rsidRDefault="00591C0A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7600A434" w14:textId="34D12A69" w:rsidR="002A14FC" w:rsidRDefault="002A14FC" w:rsidP="002A14F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2015-present:  Supervised and reviewed drafts of law review articles for 4-5 upper class </w:t>
      </w:r>
    </w:p>
    <w:p w14:paraId="11A84865" w14:textId="4024FC75" w:rsidR="002A14FC" w:rsidRDefault="002A14FC" w:rsidP="002A14F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7CEF">
        <w:rPr>
          <w:sz w:val="24"/>
          <w:szCs w:val="24"/>
        </w:rPr>
        <w:t>s</w:t>
      </w:r>
      <w:r>
        <w:rPr>
          <w:sz w:val="24"/>
          <w:szCs w:val="24"/>
        </w:rPr>
        <w:t>tudents each year</w:t>
      </w:r>
    </w:p>
    <w:p w14:paraId="0EC377FA" w14:textId="7BDE649E" w:rsidR="00415D11" w:rsidRDefault="00415D11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DC70773" w14:textId="65F5EC9E" w:rsidR="00415D11" w:rsidRDefault="00415D11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2015-present:  Acted as </w:t>
      </w:r>
      <w:r w:rsidR="002A14F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faculty supervisor for </w:t>
      </w:r>
      <w:r w:rsidR="004C7CEF">
        <w:rPr>
          <w:sz w:val="24"/>
          <w:szCs w:val="24"/>
        </w:rPr>
        <w:t xml:space="preserve">numerous </w:t>
      </w:r>
      <w:r w:rsidR="002A14FC">
        <w:rPr>
          <w:sz w:val="24"/>
          <w:szCs w:val="24"/>
        </w:rPr>
        <w:t xml:space="preserve">student </w:t>
      </w:r>
      <w:r>
        <w:rPr>
          <w:sz w:val="24"/>
          <w:szCs w:val="24"/>
        </w:rPr>
        <w:t>externships</w:t>
      </w:r>
    </w:p>
    <w:p w14:paraId="465A2332" w14:textId="319C680F" w:rsidR="00476F1E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9A4DA89" w14:textId="77777777" w:rsidR="002A14FC" w:rsidRDefault="002A14FC" w:rsidP="002A14F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2007-2018:  Prepared and presented the legal writing component of the Minority Student </w:t>
      </w:r>
    </w:p>
    <w:p w14:paraId="09C3AA6C" w14:textId="26835A9E" w:rsidR="002A14FC" w:rsidRDefault="002A14FC" w:rsidP="002A14F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Program orientation</w:t>
      </w:r>
    </w:p>
    <w:p w14:paraId="3950D052" w14:textId="77777777" w:rsidR="002A14FC" w:rsidRDefault="002A14FC" w:rsidP="00415D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E590E2A" w14:textId="36D61FFB" w:rsidR="00415D11" w:rsidRDefault="00415D11" w:rsidP="00415D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May 2017</w:t>
      </w:r>
      <w:r w:rsidR="00591C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91C0A">
        <w:rPr>
          <w:sz w:val="24"/>
          <w:szCs w:val="24"/>
        </w:rPr>
        <w:t>P</w:t>
      </w:r>
      <w:r>
        <w:rPr>
          <w:sz w:val="24"/>
          <w:szCs w:val="24"/>
        </w:rPr>
        <w:t xml:space="preserve">resented a lecture on using fiction techniques in legal writing as part of the </w:t>
      </w:r>
    </w:p>
    <w:p w14:paraId="2981304F" w14:textId="1838247C" w:rsidR="00415D11" w:rsidRPr="00622D16" w:rsidRDefault="00415D11" w:rsidP="00415D1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Rutgers IPE/CLE program</w:t>
      </w:r>
    </w:p>
    <w:p w14:paraId="5850C9C2" w14:textId="77777777" w:rsidR="00415D11" w:rsidRDefault="00415D11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8DAFAC0" w14:textId="48C88266" w:rsidR="004C7CEF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Summer 2014</w:t>
      </w:r>
      <w:r w:rsidR="00591C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91C0A">
        <w:rPr>
          <w:sz w:val="24"/>
          <w:szCs w:val="24"/>
        </w:rPr>
        <w:t>P</w:t>
      </w:r>
      <w:r w:rsidR="004C7CEF">
        <w:rPr>
          <w:sz w:val="24"/>
          <w:szCs w:val="24"/>
        </w:rPr>
        <w:t xml:space="preserve">resented lectures on </w:t>
      </w:r>
      <w:r>
        <w:rPr>
          <w:sz w:val="24"/>
          <w:szCs w:val="24"/>
        </w:rPr>
        <w:t xml:space="preserve">essay organization and multiple-choice strategies </w:t>
      </w:r>
      <w:r w:rsidR="004C7CEF">
        <w:rPr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533415AC" w14:textId="3CDC6EA8" w:rsidR="00476F1E" w:rsidRDefault="004C7CEF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76F1E">
        <w:rPr>
          <w:sz w:val="24"/>
          <w:szCs w:val="24"/>
        </w:rPr>
        <w:t xml:space="preserve">part of a bar exam preparation </w:t>
      </w:r>
      <w:r>
        <w:rPr>
          <w:sz w:val="24"/>
          <w:szCs w:val="24"/>
        </w:rPr>
        <w:t>program</w:t>
      </w:r>
      <w:r w:rsidR="00476F1E">
        <w:rPr>
          <w:sz w:val="24"/>
          <w:szCs w:val="24"/>
        </w:rPr>
        <w:t xml:space="preserve"> </w:t>
      </w:r>
      <w:proofErr w:type="gramStart"/>
      <w:r w:rsidR="00476F1E">
        <w:rPr>
          <w:sz w:val="24"/>
          <w:szCs w:val="24"/>
        </w:rPr>
        <w:t>open</w:t>
      </w:r>
      <w:proofErr w:type="gramEnd"/>
      <w:r w:rsidR="00476F1E">
        <w:rPr>
          <w:sz w:val="24"/>
          <w:szCs w:val="24"/>
        </w:rPr>
        <w:t xml:space="preserve"> to all third-year students</w:t>
      </w:r>
    </w:p>
    <w:p w14:paraId="10305243" w14:textId="77777777" w:rsidR="00476F1E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720A0E1" w14:textId="4C589572" w:rsidR="004C7CEF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Spring 2014:  Presented </w:t>
      </w:r>
      <w:r w:rsidR="004C7CEF">
        <w:rPr>
          <w:sz w:val="24"/>
          <w:szCs w:val="24"/>
        </w:rPr>
        <w:t>l</w:t>
      </w:r>
      <w:r>
        <w:rPr>
          <w:sz w:val="24"/>
          <w:szCs w:val="24"/>
        </w:rPr>
        <w:t xml:space="preserve">ectures on drafting effective preliminary statements and </w:t>
      </w:r>
      <w:r w:rsidR="00C159FB">
        <w:rPr>
          <w:sz w:val="24"/>
          <w:szCs w:val="24"/>
        </w:rPr>
        <w:t>addressin</w:t>
      </w:r>
      <w:r>
        <w:rPr>
          <w:sz w:val="24"/>
          <w:szCs w:val="24"/>
        </w:rPr>
        <w:t xml:space="preserve">g </w:t>
      </w:r>
      <w:r w:rsidR="004C7CEF">
        <w:rPr>
          <w:sz w:val="24"/>
          <w:szCs w:val="24"/>
        </w:rPr>
        <w:t xml:space="preserve">   </w:t>
      </w:r>
    </w:p>
    <w:p w14:paraId="7EEF280B" w14:textId="6F8DF30D" w:rsidR="00476F1E" w:rsidRDefault="004C7CEF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6F1E">
        <w:rPr>
          <w:sz w:val="24"/>
          <w:szCs w:val="24"/>
        </w:rPr>
        <w:t>adverse authority</w:t>
      </w:r>
      <w:r w:rsidR="00C159FB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part of the Rutgers field placement program</w:t>
      </w:r>
      <w:r w:rsidR="00476F1E">
        <w:rPr>
          <w:sz w:val="24"/>
          <w:szCs w:val="24"/>
        </w:rPr>
        <w:t xml:space="preserve"> </w:t>
      </w:r>
    </w:p>
    <w:p w14:paraId="37E029DA" w14:textId="77777777" w:rsidR="00476F1E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2DB273C7" w14:textId="77777777" w:rsidR="00476F1E" w:rsidRDefault="00476F1E" w:rsidP="00476F1E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October 19, 2012:  Lectured at the NJ Paralegal Convention on Researching and Drafting</w:t>
      </w:r>
    </w:p>
    <w:p w14:paraId="32105C21" w14:textId="33B239A0" w:rsidR="00476F1E" w:rsidRDefault="00476F1E" w:rsidP="00476F1E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        Legal Memoranda</w:t>
      </w:r>
    </w:p>
    <w:p w14:paraId="38AB38BA" w14:textId="77777777" w:rsidR="00476F1E" w:rsidRDefault="00476F1E" w:rsidP="00476F1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BAC1023" w14:textId="77777777" w:rsidR="00476F1E" w:rsidRDefault="00476F1E" w:rsidP="00476F1E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November 2009:  Lectured on Cultural Property Claims as Part of the Rutgers University</w:t>
      </w:r>
    </w:p>
    <w:p w14:paraId="32F3DD04" w14:textId="57598B5C" w:rsidR="00476F1E" w:rsidRDefault="00476F1E" w:rsidP="00476F1E">
      <w:pPr>
        <w:pStyle w:val="Outline00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        CHAPS program</w:t>
      </w:r>
    </w:p>
    <w:p w14:paraId="574AB91E" w14:textId="77777777" w:rsidR="001037B1" w:rsidRDefault="001037B1" w:rsidP="001037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6DE191F" w14:textId="7176BAB0" w:rsidR="00CE09CA" w:rsidRDefault="00CE09CA" w:rsidP="001037B1"/>
    <w:p w14:paraId="72E4D883" w14:textId="50530D0E" w:rsidR="00CE09CA" w:rsidRDefault="00CE09CA" w:rsidP="001037B1"/>
    <w:p w14:paraId="1D28A87B" w14:textId="3BD43AB8" w:rsidR="00CE09CA" w:rsidRDefault="00CE09CA" w:rsidP="001037B1"/>
    <w:p w14:paraId="57DD7BFC" w14:textId="66EA55E6" w:rsidR="00CE09CA" w:rsidRDefault="00CE09CA" w:rsidP="001037B1"/>
    <w:p w14:paraId="46EE5336" w14:textId="3FFB25B8" w:rsidR="00CE09CA" w:rsidRDefault="00CE09CA" w:rsidP="001037B1"/>
    <w:p w14:paraId="736BD964" w14:textId="0B7FC04D" w:rsidR="00CE09CA" w:rsidRDefault="00CE09CA" w:rsidP="001037B1"/>
    <w:p w14:paraId="3F00FDE6" w14:textId="241935AD" w:rsidR="00CE09CA" w:rsidRDefault="00CE09CA" w:rsidP="001037B1"/>
    <w:p w14:paraId="762CEE82" w14:textId="34C6E810" w:rsidR="00CE09CA" w:rsidRDefault="00CE09CA" w:rsidP="001037B1"/>
    <w:p w14:paraId="4DC18AF3" w14:textId="77777777" w:rsidR="00CE09CA" w:rsidRDefault="00CE09CA" w:rsidP="001037B1"/>
    <w:p w14:paraId="73855123" w14:textId="5C86B1E9" w:rsidR="00786767" w:rsidRDefault="0078676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6641DC6" w14:textId="77777777" w:rsidR="00786767" w:rsidRDefault="00786767"/>
    <w:sectPr w:rsidR="007867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378A" w14:textId="77777777" w:rsidR="00D43F8E" w:rsidRDefault="00D43F8E" w:rsidP="002A14FC">
      <w:r>
        <w:separator/>
      </w:r>
    </w:p>
  </w:endnote>
  <w:endnote w:type="continuationSeparator" w:id="0">
    <w:p w14:paraId="63DC0A48" w14:textId="77777777" w:rsidR="00D43F8E" w:rsidRDefault="00D43F8E" w:rsidP="002A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524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1EDF8" w14:textId="6FF79CAA" w:rsidR="002A14FC" w:rsidRDefault="002A1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1D4AA" w14:textId="77777777" w:rsidR="002A14FC" w:rsidRDefault="002A1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2FDF" w14:textId="77777777" w:rsidR="00D43F8E" w:rsidRDefault="00D43F8E" w:rsidP="002A14FC">
      <w:r>
        <w:separator/>
      </w:r>
    </w:p>
  </w:footnote>
  <w:footnote w:type="continuationSeparator" w:id="0">
    <w:p w14:paraId="2A1C4AAD" w14:textId="77777777" w:rsidR="00D43F8E" w:rsidRDefault="00D43F8E" w:rsidP="002A1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56636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 "/>
        <w:legacy w:legacy="1" w:legacySpace="0" w:legacyIndent="1"/>
        <w:lvlJc w:val="left"/>
        <w:pPr>
          <w:ind w:left="36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B1"/>
    <w:rsid w:val="000F5A21"/>
    <w:rsid w:val="001037B1"/>
    <w:rsid w:val="00112565"/>
    <w:rsid w:val="001A4F03"/>
    <w:rsid w:val="001B1519"/>
    <w:rsid w:val="001C102C"/>
    <w:rsid w:val="001C2F28"/>
    <w:rsid w:val="00275D7F"/>
    <w:rsid w:val="002A14FC"/>
    <w:rsid w:val="003079E4"/>
    <w:rsid w:val="00330802"/>
    <w:rsid w:val="00353CE2"/>
    <w:rsid w:val="00414655"/>
    <w:rsid w:val="00415D11"/>
    <w:rsid w:val="00421303"/>
    <w:rsid w:val="0042793A"/>
    <w:rsid w:val="00476F1E"/>
    <w:rsid w:val="00492BE4"/>
    <w:rsid w:val="004A1FAF"/>
    <w:rsid w:val="004C7CEF"/>
    <w:rsid w:val="00591C0A"/>
    <w:rsid w:val="005C1495"/>
    <w:rsid w:val="0063682E"/>
    <w:rsid w:val="006B242C"/>
    <w:rsid w:val="007764CA"/>
    <w:rsid w:val="00786767"/>
    <w:rsid w:val="007B50C5"/>
    <w:rsid w:val="007B5991"/>
    <w:rsid w:val="008861C1"/>
    <w:rsid w:val="008A345E"/>
    <w:rsid w:val="008A727A"/>
    <w:rsid w:val="008B1CF3"/>
    <w:rsid w:val="008F00A4"/>
    <w:rsid w:val="00941156"/>
    <w:rsid w:val="009F244B"/>
    <w:rsid w:val="00B3350E"/>
    <w:rsid w:val="00C159FB"/>
    <w:rsid w:val="00C57714"/>
    <w:rsid w:val="00C60AA3"/>
    <w:rsid w:val="00C92BCB"/>
    <w:rsid w:val="00CA7634"/>
    <w:rsid w:val="00CD1C51"/>
    <w:rsid w:val="00CE09CA"/>
    <w:rsid w:val="00D43F8E"/>
    <w:rsid w:val="00DE5AF0"/>
    <w:rsid w:val="00E224F6"/>
    <w:rsid w:val="00E5190A"/>
    <w:rsid w:val="00E9747B"/>
    <w:rsid w:val="00F120D5"/>
    <w:rsid w:val="00F141E2"/>
    <w:rsid w:val="00F45FDB"/>
    <w:rsid w:val="00FD261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2E18"/>
  <w15:chartTrackingRefBased/>
  <w15:docId w15:val="{E96AB3B0-6F1A-427F-8F05-C470F438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rsid w:val="00103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">
    <w:name w:val="rrr"/>
    <w:rsid w:val="00103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1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4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bitterman</dc:creator>
  <cp:keywords/>
  <dc:description/>
  <cp:lastModifiedBy>amy bitterman</cp:lastModifiedBy>
  <cp:revision>31</cp:revision>
  <dcterms:created xsi:type="dcterms:W3CDTF">2019-05-28T18:30:00Z</dcterms:created>
  <dcterms:modified xsi:type="dcterms:W3CDTF">2022-02-16T20:41:00Z</dcterms:modified>
</cp:coreProperties>
</file>