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621" w:rsidRDefault="007E0621" w:rsidP="007E0621">
      <w:pPr>
        <w:spacing w:before="100" w:beforeAutospacing="1" w:after="100" w:afterAutospacing="1" w:line="240" w:lineRule="auto"/>
        <w:outlineLvl w:val="0"/>
        <w:rPr>
          <w:rFonts w:ascii="Andalus" w:eastAsia="Times New Roman" w:hAnsi="Andalus" w:cs="Andalus"/>
          <w:b/>
          <w:bCs/>
          <w:kern w:val="36"/>
          <w:sz w:val="20"/>
          <w:szCs w:val="20"/>
        </w:rPr>
      </w:pPr>
      <w:r>
        <w:rPr>
          <w:rFonts w:ascii="Andalus" w:eastAsia="Times New Roman" w:hAnsi="Andalus" w:cs="Andalus"/>
          <w:b/>
          <w:bCs/>
          <w:kern w:val="36"/>
          <w:sz w:val="20"/>
          <w:szCs w:val="20"/>
        </w:rPr>
        <w:t>Bar Exam Meeting</w:t>
      </w:r>
      <w:r w:rsidR="00BA7290">
        <w:rPr>
          <w:rFonts w:ascii="Andalus" w:eastAsia="Times New Roman" w:hAnsi="Andalus" w:cs="Andalus"/>
          <w:b/>
          <w:bCs/>
          <w:kern w:val="36"/>
          <w:sz w:val="20"/>
          <w:szCs w:val="20"/>
        </w:rPr>
        <w:tab/>
      </w:r>
      <w:r w:rsidR="00BA7290">
        <w:rPr>
          <w:rFonts w:ascii="Andalus" w:eastAsia="Times New Roman" w:hAnsi="Andalus" w:cs="Andalus"/>
          <w:b/>
          <w:bCs/>
          <w:kern w:val="36"/>
          <w:sz w:val="20"/>
          <w:szCs w:val="20"/>
        </w:rPr>
        <w:tab/>
      </w:r>
      <w:r w:rsidR="00BA7290">
        <w:rPr>
          <w:rFonts w:ascii="Andalus" w:eastAsia="Times New Roman" w:hAnsi="Andalus" w:cs="Andalus"/>
          <w:b/>
          <w:bCs/>
          <w:kern w:val="36"/>
          <w:sz w:val="20"/>
          <w:szCs w:val="20"/>
        </w:rPr>
        <w:tab/>
      </w:r>
      <w:r w:rsidR="00BA7290">
        <w:rPr>
          <w:rFonts w:ascii="Andalus" w:eastAsia="Times New Roman" w:hAnsi="Andalus" w:cs="Andalus"/>
          <w:b/>
          <w:bCs/>
          <w:kern w:val="36"/>
          <w:sz w:val="20"/>
          <w:szCs w:val="20"/>
        </w:rPr>
        <w:tab/>
      </w:r>
      <w:r w:rsidR="00BA7290">
        <w:rPr>
          <w:rFonts w:ascii="Andalus" w:eastAsia="Times New Roman" w:hAnsi="Andalus" w:cs="Andalus"/>
          <w:b/>
          <w:bCs/>
          <w:kern w:val="36"/>
          <w:sz w:val="20"/>
          <w:szCs w:val="20"/>
        </w:rPr>
        <w:tab/>
      </w:r>
      <w:r w:rsidR="00BA7290">
        <w:rPr>
          <w:rFonts w:ascii="Andalus" w:eastAsia="Times New Roman" w:hAnsi="Andalus" w:cs="Andalus"/>
          <w:b/>
          <w:bCs/>
          <w:kern w:val="36"/>
          <w:sz w:val="20"/>
          <w:szCs w:val="20"/>
        </w:rPr>
        <w:tab/>
      </w:r>
      <w:r>
        <w:rPr>
          <w:rFonts w:ascii="Andalus" w:eastAsia="Times New Roman" w:hAnsi="Andalus" w:cs="Andalus"/>
          <w:b/>
          <w:bCs/>
          <w:kern w:val="36"/>
          <w:sz w:val="20"/>
          <w:szCs w:val="20"/>
        </w:rPr>
        <w:t>October 25, 2016</w:t>
      </w:r>
    </w:p>
    <w:p w:rsidR="007E0621" w:rsidRPr="00BA7290" w:rsidRDefault="007E0621" w:rsidP="007E0621">
      <w:pPr>
        <w:spacing w:before="100" w:beforeAutospacing="1" w:after="100" w:afterAutospacing="1" w:line="240" w:lineRule="auto"/>
        <w:outlineLvl w:val="0"/>
        <w:rPr>
          <w:rFonts w:ascii="Andalus" w:eastAsia="Times New Roman" w:hAnsi="Andalus" w:cs="Andalus"/>
          <w:b/>
          <w:bCs/>
          <w:kern w:val="36"/>
          <w:sz w:val="18"/>
          <w:szCs w:val="18"/>
        </w:rPr>
      </w:pPr>
      <w:r w:rsidRPr="00BA7290">
        <w:rPr>
          <w:rFonts w:ascii="Andalus" w:eastAsia="Times New Roman" w:hAnsi="Andalus" w:cs="Andalus"/>
          <w:b/>
          <w:bCs/>
          <w:kern w:val="36"/>
          <w:sz w:val="18"/>
          <w:szCs w:val="18"/>
        </w:rPr>
        <w:t>UBE is now the exam in NJ and NY, as well as numerous other jurisdictions.</w:t>
      </w:r>
    </w:p>
    <w:p w:rsidR="007E0621" w:rsidRPr="00BA7290" w:rsidRDefault="007E0621" w:rsidP="007E0621">
      <w:pPr>
        <w:spacing w:before="100" w:beforeAutospacing="1" w:after="100" w:afterAutospacing="1" w:line="240" w:lineRule="auto"/>
        <w:outlineLvl w:val="2"/>
        <w:rPr>
          <w:rFonts w:ascii="Andalus" w:eastAsia="Times New Roman" w:hAnsi="Andalus" w:cs="Andalus"/>
          <w:bCs/>
          <w:sz w:val="18"/>
          <w:szCs w:val="18"/>
        </w:rPr>
      </w:pPr>
      <w:r w:rsidRPr="00BA7290">
        <w:rPr>
          <w:rFonts w:ascii="Andalus" w:eastAsia="Times New Roman" w:hAnsi="Andalus" w:cs="Andalus"/>
          <w:bCs/>
          <w:sz w:val="18"/>
          <w:szCs w:val="18"/>
        </w:rPr>
        <w:t xml:space="preserve">UBE (Uniform Bar Examination):  </w:t>
      </w:r>
      <w:hyperlink r:id="rId5" w:history="1">
        <w:r w:rsidRPr="00BA7290">
          <w:rPr>
            <w:rStyle w:val="Hyperlink"/>
            <w:rFonts w:ascii="Andalus" w:eastAsia="Times New Roman" w:hAnsi="Andalus" w:cs="Andalus"/>
            <w:bCs/>
            <w:sz w:val="18"/>
            <w:szCs w:val="18"/>
          </w:rPr>
          <w:t>http://www.ncbex.org/exams/ube/</w:t>
        </w:r>
      </w:hyperlink>
      <w:r w:rsidRPr="00BA7290">
        <w:rPr>
          <w:rFonts w:ascii="Andalus" w:eastAsia="Times New Roman" w:hAnsi="Andalus" w:cs="Andalus"/>
          <w:bCs/>
          <w:sz w:val="18"/>
          <w:szCs w:val="18"/>
        </w:rPr>
        <w:t xml:space="preserve"> has three parts:</w:t>
      </w:r>
    </w:p>
    <w:p w:rsidR="007E0621" w:rsidRPr="00BA7290" w:rsidRDefault="007E0621" w:rsidP="007E0621">
      <w:pPr>
        <w:spacing w:before="100" w:beforeAutospacing="1" w:after="100" w:afterAutospacing="1" w:line="240" w:lineRule="auto"/>
        <w:outlineLvl w:val="2"/>
        <w:rPr>
          <w:rFonts w:ascii="Andalus" w:eastAsia="Times New Roman" w:hAnsi="Andalus" w:cs="Andalus"/>
          <w:bCs/>
          <w:sz w:val="18"/>
          <w:szCs w:val="18"/>
        </w:rPr>
      </w:pPr>
      <w:r w:rsidRPr="00BA7290">
        <w:rPr>
          <w:rFonts w:ascii="Andalus" w:eastAsia="Times New Roman" w:hAnsi="Andalus" w:cs="Andalus"/>
          <w:bCs/>
          <w:sz w:val="18"/>
          <w:szCs w:val="18"/>
        </w:rPr>
        <w:t></w:t>
      </w:r>
      <w:r w:rsidRPr="00BA7290">
        <w:rPr>
          <w:rFonts w:ascii="Andalus" w:eastAsia="Times New Roman" w:hAnsi="Andalus" w:cs="Andalus"/>
          <w:bCs/>
          <w:sz w:val="18"/>
          <w:szCs w:val="18"/>
        </w:rPr>
        <w:tab/>
        <w:t xml:space="preserve">MEE (Multistate Essay Examination):  </w:t>
      </w:r>
      <w:hyperlink r:id="rId6" w:history="1">
        <w:r w:rsidRPr="00BA7290">
          <w:rPr>
            <w:rStyle w:val="Hyperlink"/>
            <w:rFonts w:ascii="Andalus" w:eastAsia="Times New Roman" w:hAnsi="Andalus" w:cs="Andalus"/>
            <w:bCs/>
            <w:sz w:val="18"/>
            <w:szCs w:val="18"/>
          </w:rPr>
          <w:t>http://www.ncbex.org/exams/mee/</w:t>
        </w:r>
      </w:hyperlink>
      <w:r w:rsidRPr="00BA7290">
        <w:rPr>
          <w:rFonts w:ascii="Andalus" w:eastAsia="Times New Roman" w:hAnsi="Andalus" w:cs="Andalus"/>
          <w:bCs/>
          <w:sz w:val="18"/>
          <w:szCs w:val="18"/>
        </w:rPr>
        <w:t xml:space="preserve"> </w:t>
      </w:r>
    </w:p>
    <w:p w:rsidR="007E0621" w:rsidRPr="00BA7290" w:rsidRDefault="007E0621" w:rsidP="007E0621">
      <w:pPr>
        <w:spacing w:before="100" w:beforeAutospacing="1" w:after="100" w:afterAutospacing="1" w:line="240" w:lineRule="auto"/>
        <w:outlineLvl w:val="2"/>
        <w:rPr>
          <w:rFonts w:ascii="Andalus" w:eastAsia="Times New Roman" w:hAnsi="Andalus" w:cs="Andalus"/>
          <w:bCs/>
          <w:sz w:val="18"/>
          <w:szCs w:val="18"/>
        </w:rPr>
      </w:pPr>
      <w:r w:rsidRPr="00BA7290">
        <w:rPr>
          <w:rFonts w:ascii="Andalus" w:eastAsia="Times New Roman" w:hAnsi="Andalus" w:cs="Andalus"/>
          <w:bCs/>
          <w:sz w:val="18"/>
          <w:szCs w:val="18"/>
        </w:rPr>
        <w:t></w:t>
      </w:r>
      <w:r w:rsidRPr="00BA7290">
        <w:rPr>
          <w:rFonts w:ascii="Andalus" w:eastAsia="Times New Roman" w:hAnsi="Andalus" w:cs="Andalus"/>
          <w:bCs/>
          <w:sz w:val="18"/>
          <w:szCs w:val="18"/>
        </w:rPr>
        <w:tab/>
        <w:t xml:space="preserve">MPT (Multistate Performance Test):  </w:t>
      </w:r>
      <w:hyperlink r:id="rId7" w:history="1">
        <w:r w:rsidRPr="00BA7290">
          <w:rPr>
            <w:rStyle w:val="Hyperlink"/>
            <w:rFonts w:ascii="Andalus" w:eastAsia="Times New Roman" w:hAnsi="Andalus" w:cs="Andalus"/>
            <w:bCs/>
            <w:sz w:val="18"/>
            <w:szCs w:val="18"/>
          </w:rPr>
          <w:t>http://www.ncbex.org/exams/mpt/</w:t>
        </w:r>
      </w:hyperlink>
      <w:r w:rsidRPr="00BA7290">
        <w:rPr>
          <w:rFonts w:ascii="Andalus" w:eastAsia="Times New Roman" w:hAnsi="Andalus" w:cs="Andalus"/>
          <w:bCs/>
          <w:sz w:val="18"/>
          <w:szCs w:val="18"/>
        </w:rPr>
        <w:t xml:space="preserve"> </w:t>
      </w:r>
    </w:p>
    <w:p w:rsidR="007E0621" w:rsidRPr="00BA7290" w:rsidRDefault="007E0621" w:rsidP="007E0621">
      <w:pPr>
        <w:spacing w:before="100" w:beforeAutospacing="1" w:after="100" w:afterAutospacing="1" w:line="240" w:lineRule="auto"/>
        <w:outlineLvl w:val="2"/>
        <w:rPr>
          <w:rFonts w:ascii="Andalus" w:eastAsia="Times New Roman" w:hAnsi="Andalus" w:cs="Andalus"/>
          <w:bCs/>
          <w:sz w:val="18"/>
          <w:szCs w:val="18"/>
        </w:rPr>
      </w:pPr>
      <w:r w:rsidRPr="00BA7290">
        <w:rPr>
          <w:rFonts w:ascii="Andalus" w:eastAsia="Times New Roman" w:hAnsi="Andalus" w:cs="Andalus"/>
          <w:bCs/>
          <w:sz w:val="18"/>
          <w:szCs w:val="18"/>
        </w:rPr>
        <w:t></w:t>
      </w:r>
      <w:r w:rsidRPr="00BA7290">
        <w:rPr>
          <w:rFonts w:ascii="Andalus" w:eastAsia="Times New Roman" w:hAnsi="Andalus" w:cs="Andalus"/>
          <w:bCs/>
          <w:sz w:val="18"/>
          <w:szCs w:val="18"/>
        </w:rPr>
        <w:tab/>
        <w:t>MBE (Multistate Bar Examination):   http://www.ncbex.org/exams/mbe/Test Format  </w:t>
      </w:r>
    </w:p>
    <w:p w:rsidR="007E0621" w:rsidRPr="00BA7290" w:rsidRDefault="007E0621" w:rsidP="007E0621">
      <w:pPr>
        <w:spacing w:before="100" w:beforeAutospacing="1" w:after="100" w:afterAutospacing="1" w:line="240" w:lineRule="auto"/>
        <w:rPr>
          <w:rFonts w:ascii="Andalus" w:eastAsia="Times New Roman" w:hAnsi="Andalus" w:cs="Andalus"/>
          <w:sz w:val="18"/>
          <w:szCs w:val="18"/>
        </w:rPr>
      </w:pPr>
      <w:r w:rsidRPr="00BA7290">
        <w:rPr>
          <w:rFonts w:ascii="Andalus" w:eastAsia="Times New Roman" w:hAnsi="Andalus" w:cs="Andalus"/>
          <w:sz w:val="18"/>
          <w:szCs w:val="18"/>
        </w:rPr>
        <w:t xml:space="preserve">The MEE (Multistate Essay Examination) consists of six 30-minute questions. The MEE </w:t>
      </w:r>
      <w:r w:rsidRPr="00BA7290">
        <w:rPr>
          <w:rFonts w:ascii="Andalus" w:eastAsia="Times New Roman" w:hAnsi="Andalus" w:cs="Andalus"/>
          <w:b/>
          <w:sz w:val="18"/>
          <w:szCs w:val="18"/>
        </w:rPr>
        <w:t>may</w:t>
      </w:r>
      <w:r w:rsidRPr="00BA7290">
        <w:rPr>
          <w:rFonts w:ascii="Andalus" w:eastAsia="Times New Roman" w:hAnsi="Andalus" w:cs="Andalus"/>
          <w:sz w:val="18"/>
          <w:szCs w:val="18"/>
        </w:rPr>
        <w:t xml:space="preserve"> include issues from 12 areas of law. Some questions may include issues in more than one area of law. The </w:t>
      </w:r>
      <w:proofErr w:type="gramStart"/>
      <w:r w:rsidRPr="00BA7290">
        <w:rPr>
          <w:rFonts w:ascii="Andalus" w:eastAsia="Times New Roman" w:hAnsi="Andalus" w:cs="Andalus"/>
          <w:sz w:val="18"/>
          <w:szCs w:val="18"/>
        </w:rPr>
        <w:t>particular areas</w:t>
      </w:r>
      <w:proofErr w:type="gramEnd"/>
      <w:r w:rsidRPr="00BA7290">
        <w:rPr>
          <w:rFonts w:ascii="Andalus" w:eastAsia="Times New Roman" w:hAnsi="Andalus" w:cs="Andalus"/>
          <w:sz w:val="18"/>
          <w:szCs w:val="18"/>
        </w:rPr>
        <w:t xml:space="preserve"> covered vary from exam to exam. Areas of law that </w:t>
      </w:r>
      <w:r w:rsidRPr="00BA7290">
        <w:rPr>
          <w:rFonts w:ascii="Andalus" w:eastAsia="Times New Roman" w:hAnsi="Andalus" w:cs="Andalus"/>
          <w:b/>
          <w:sz w:val="18"/>
          <w:szCs w:val="18"/>
        </w:rPr>
        <w:t>may</w:t>
      </w:r>
      <w:r w:rsidRPr="00BA7290">
        <w:rPr>
          <w:rFonts w:ascii="Andalus" w:eastAsia="Times New Roman" w:hAnsi="Andalus" w:cs="Andalus"/>
          <w:sz w:val="18"/>
          <w:szCs w:val="18"/>
        </w:rPr>
        <w:t xml:space="preserve"> be covered on the MEE include the following seven subjects:</w:t>
      </w:r>
    </w:p>
    <w:p w:rsidR="007E0621" w:rsidRPr="00BA7290" w:rsidRDefault="007E0621" w:rsidP="007E0621">
      <w:pPr>
        <w:spacing w:before="100" w:beforeAutospacing="1" w:after="100" w:afterAutospacing="1" w:line="240" w:lineRule="auto"/>
        <w:rPr>
          <w:rFonts w:ascii="Andalus" w:eastAsia="Times New Roman" w:hAnsi="Andalus" w:cs="Andalus"/>
          <w:sz w:val="18"/>
          <w:szCs w:val="18"/>
        </w:rPr>
      </w:pPr>
      <w:r w:rsidRPr="00BA7290">
        <w:rPr>
          <w:rFonts w:ascii="Andalus" w:eastAsia="Times New Roman" w:hAnsi="Andalus" w:cs="Andalus"/>
          <w:sz w:val="18"/>
          <w:szCs w:val="18"/>
        </w:rPr>
        <w:t>Civil Procedure</w:t>
      </w:r>
      <w:r w:rsidRPr="00BA7290">
        <w:rPr>
          <w:rFonts w:ascii="Andalus" w:eastAsia="Times New Roman" w:hAnsi="Andalus" w:cs="Andalus"/>
          <w:sz w:val="18"/>
          <w:szCs w:val="18"/>
        </w:rPr>
        <w:tab/>
      </w:r>
      <w:r w:rsidRPr="00BA7290">
        <w:rPr>
          <w:rFonts w:ascii="Andalus" w:eastAsia="Times New Roman" w:hAnsi="Andalus" w:cs="Andalus"/>
          <w:sz w:val="18"/>
          <w:szCs w:val="18"/>
        </w:rPr>
        <w:tab/>
      </w:r>
      <w:r w:rsidRPr="00BA7290">
        <w:rPr>
          <w:rFonts w:ascii="Andalus" w:eastAsia="Times New Roman" w:hAnsi="Andalus" w:cs="Andalus"/>
          <w:sz w:val="18"/>
          <w:szCs w:val="18"/>
        </w:rPr>
        <w:tab/>
        <w:t>Criminal Law and Procedure</w:t>
      </w:r>
      <w:r w:rsidRPr="00BA7290">
        <w:rPr>
          <w:rFonts w:ascii="Andalus" w:eastAsia="Times New Roman" w:hAnsi="Andalus" w:cs="Andalus"/>
          <w:sz w:val="18"/>
          <w:szCs w:val="18"/>
        </w:rPr>
        <w:tab/>
      </w:r>
      <w:r w:rsidR="00BA7290" w:rsidRPr="00BA7290">
        <w:rPr>
          <w:rFonts w:ascii="Andalus" w:eastAsia="Times New Roman" w:hAnsi="Andalus" w:cs="Andalus"/>
          <w:sz w:val="18"/>
          <w:szCs w:val="18"/>
        </w:rPr>
        <w:tab/>
      </w:r>
      <w:r w:rsidRPr="00BA7290">
        <w:rPr>
          <w:rFonts w:ascii="Andalus" w:eastAsia="Times New Roman" w:hAnsi="Andalus" w:cs="Andalus"/>
          <w:sz w:val="18"/>
          <w:szCs w:val="18"/>
        </w:rPr>
        <w:t>Evidence</w:t>
      </w:r>
    </w:p>
    <w:p w:rsidR="007E0621" w:rsidRPr="00BA7290" w:rsidRDefault="007E0621" w:rsidP="007E0621">
      <w:pPr>
        <w:spacing w:before="100" w:beforeAutospacing="1" w:after="100" w:afterAutospacing="1" w:line="240" w:lineRule="auto"/>
        <w:rPr>
          <w:rFonts w:ascii="Andalus" w:eastAsia="Times New Roman" w:hAnsi="Andalus" w:cs="Andalus"/>
          <w:sz w:val="18"/>
          <w:szCs w:val="18"/>
        </w:rPr>
      </w:pPr>
      <w:r w:rsidRPr="00BA7290">
        <w:rPr>
          <w:rFonts w:ascii="Andalus" w:eastAsia="Times New Roman" w:hAnsi="Andalus" w:cs="Andalus"/>
          <w:sz w:val="18"/>
          <w:szCs w:val="18"/>
        </w:rPr>
        <w:t>Constitutional Law</w:t>
      </w:r>
      <w:r w:rsidRPr="00BA7290">
        <w:rPr>
          <w:rFonts w:ascii="Andalus" w:eastAsia="Times New Roman" w:hAnsi="Andalus" w:cs="Andalus"/>
          <w:sz w:val="18"/>
          <w:szCs w:val="18"/>
        </w:rPr>
        <w:tab/>
      </w:r>
      <w:r w:rsidRPr="00BA7290">
        <w:rPr>
          <w:rFonts w:ascii="Andalus" w:eastAsia="Times New Roman" w:hAnsi="Andalus" w:cs="Andalus"/>
          <w:sz w:val="18"/>
          <w:szCs w:val="18"/>
        </w:rPr>
        <w:tab/>
        <w:t>Contracts (including Article 2 [Sales] of the Uniform Commercial Code)</w:t>
      </w:r>
    </w:p>
    <w:p w:rsidR="007E0621" w:rsidRPr="00BA7290" w:rsidRDefault="007E0621" w:rsidP="007E0621">
      <w:pPr>
        <w:spacing w:after="0" w:line="240" w:lineRule="auto"/>
        <w:rPr>
          <w:rFonts w:ascii="Andalus" w:eastAsia="Times New Roman" w:hAnsi="Andalus" w:cs="Andalus"/>
          <w:sz w:val="18"/>
          <w:szCs w:val="18"/>
        </w:rPr>
      </w:pPr>
      <w:r w:rsidRPr="00BA7290">
        <w:rPr>
          <w:rFonts w:ascii="Andalus" w:eastAsia="Times New Roman" w:hAnsi="Andalus" w:cs="Andalus"/>
          <w:sz w:val="18"/>
          <w:szCs w:val="18"/>
        </w:rPr>
        <w:t>Real Property</w:t>
      </w:r>
      <w:r w:rsidRPr="00BA7290">
        <w:rPr>
          <w:rFonts w:ascii="Andalus" w:eastAsia="Times New Roman" w:hAnsi="Andalus" w:cs="Andalus"/>
          <w:sz w:val="18"/>
          <w:szCs w:val="18"/>
        </w:rPr>
        <w:tab/>
      </w:r>
      <w:r w:rsidRPr="00BA7290">
        <w:rPr>
          <w:rFonts w:ascii="Andalus" w:eastAsia="Times New Roman" w:hAnsi="Andalus" w:cs="Andalus"/>
          <w:sz w:val="18"/>
          <w:szCs w:val="18"/>
        </w:rPr>
        <w:tab/>
      </w:r>
      <w:r w:rsidRPr="00BA7290">
        <w:rPr>
          <w:rFonts w:ascii="Andalus" w:eastAsia="Times New Roman" w:hAnsi="Andalus" w:cs="Andalus"/>
          <w:sz w:val="18"/>
          <w:szCs w:val="18"/>
        </w:rPr>
        <w:tab/>
        <w:t>Torts</w:t>
      </w:r>
    </w:p>
    <w:p w:rsidR="007E0621" w:rsidRPr="00BA7290" w:rsidRDefault="007E0621" w:rsidP="007E0621">
      <w:pPr>
        <w:spacing w:before="100" w:beforeAutospacing="1" w:after="100" w:afterAutospacing="1" w:line="240" w:lineRule="auto"/>
        <w:rPr>
          <w:rFonts w:ascii="Andalus" w:eastAsia="Times New Roman" w:hAnsi="Andalus" w:cs="Andalus"/>
          <w:b/>
          <w:sz w:val="18"/>
          <w:szCs w:val="18"/>
        </w:rPr>
      </w:pPr>
      <w:r w:rsidRPr="00BA7290">
        <w:rPr>
          <w:rFonts w:ascii="Andalus" w:eastAsia="Times New Roman" w:hAnsi="Andalus" w:cs="Andalus"/>
          <w:b/>
          <w:sz w:val="18"/>
          <w:szCs w:val="18"/>
        </w:rPr>
        <w:t>And the following five additional areas:</w:t>
      </w:r>
    </w:p>
    <w:p w:rsidR="007E0621" w:rsidRPr="00BA7290" w:rsidRDefault="007E0621" w:rsidP="007E0621">
      <w:pPr>
        <w:spacing w:before="100" w:beforeAutospacing="1" w:after="0" w:line="240" w:lineRule="auto"/>
        <w:rPr>
          <w:rFonts w:ascii="Andalus" w:eastAsia="Times New Roman" w:hAnsi="Andalus" w:cs="Andalus"/>
          <w:sz w:val="18"/>
          <w:szCs w:val="18"/>
        </w:rPr>
      </w:pPr>
      <w:r w:rsidRPr="00BA7290">
        <w:rPr>
          <w:rFonts w:ascii="Andalus" w:eastAsia="Times New Roman" w:hAnsi="Andalus" w:cs="Andalus"/>
          <w:sz w:val="18"/>
          <w:szCs w:val="18"/>
        </w:rPr>
        <w:t xml:space="preserve">Business Associations (Agency and Partnership; Corporations and Limited Liability Companies) </w:t>
      </w:r>
    </w:p>
    <w:p w:rsidR="00BA7290" w:rsidRPr="00BA7290" w:rsidRDefault="007E0621" w:rsidP="007E0621">
      <w:pPr>
        <w:spacing w:before="100" w:beforeAutospacing="1" w:after="0" w:line="240" w:lineRule="auto"/>
        <w:rPr>
          <w:sz w:val="18"/>
          <w:szCs w:val="18"/>
        </w:rPr>
      </w:pPr>
      <w:r w:rsidRPr="00BA7290">
        <w:rPr>
          <w:rFonts w:ascii="Andalus" w:eastAsia="Times New Roman" w:hAnsi="Andalus" w:cs="Andalus"/>
          <w:sz w:val="18"/>
          <w:szCs w:val="18"/>
        </w:rPr>
        <w:t>Conflict of Laws</w:t>
      </w:r>
      <w:r w:rsidRPr="00BA7290">
        <w:rPr>
          <w:rFonts w:ascii="Andalus" w:eastAsia="Times New Roman" w:hAnsi="Andalus" w:cs="Andalus"/>
          <w:sz w:val="18"/>
          <w:szCs w:val="18"/>
        </w:rPr>
        <w:tab/>
      </w:r>
      <w:r w:rsidRPr="00BA7290">
        <w:rPr>
          <w:rFonts w:ascii="Andalus" w:eastAsia="Times New Roman" w:hAnsi="Andalus" w:cs="Andalus"/>
          <w:sz w:val="18"/>
          <w:szCs w:val="18"/>
        </w:rPr>
        <w:tab/>
        <w:t>Family Law</w:t>
      </w:r>
      <w:r w:rsidRPr="00BA7290">
        <w:rPr>
          <w:sz w:val="18"/>
          <w:szCs w:val="18"/>
        </w:rPr>
        <w:t xml:space="preserve"> </w:t>
      </w:r>
      <w:r w:rsidRPr="00BA7290">
        <w:rPr>
          <w:sz w:val="18"/>
          <w:szCs w:val="18"/>
        </w:rPr>
        <w:tab/>
      </w:r>
    </w:p>
    <w:p w:rsidR="007E0621" w:rsidRPr="00BA7290" w:rsidRDefault="007E0621" w:rsidP="007E0621">
      <w:pPr>
        <w:spacing w:before="100" w:beforeAutospacing="1" w:after="0" w:line="240" w:lineRule="auto"/>
        <w:rPr>
          <w:rFonts w:ascii="Andalus" w:eastAsia="Times New Roman" w:hAnsi="Andalus" w:cs="Andalus"/>
          <w:sz w:val="18"/>
          <w:szCs w:val="18"/>
        </w:rPr>
      </w:pPr>
      <w:r w:rsidRPr="00BA7290">
        <w:rPr>
          <w:rFonts w:ascii="Andalus" w:eastAsia="Times New Roman" w:hAnsi="Andalus" w:cs="Andalus"/>
          <w:sz w:val="18"/>
          <w:szCs w:val="18"/>
        </w:rPr>
        <w:t>Article 9 (Secured Transactions) of the Uniform Commercial Code</w:t>
      </w:r>
    </w:p>
    <w:p w:rsidR="00BA7290" w:rsidRPr="00BA7290" w:rsidRDefault="007E0621" w:rsidP="00BA7290">
      <w:pPr>
        <w:spacing w:before="100" w:beforeAutospacing="1" w:after="0" w:line="240" w:lineRule="auto"/>
        <w:rPr>
          <w:rFonts w:ascii="Andalus" w:eastAsia="Times New Roman" w:hAnsi="Andalus" w:cs="Andalus"/>
          <w:sz w:val="18"/>
          <w:szCs w:val="18"/>
        </w:rPr>
      </w:pPr>
      <w:r w:rsidRPr="00BA7290">
        <w:rPr>
          <w:rFonts w:ascii="Andalus" w:eastAsia="Times New Roman" w:hAnsi="Andalus" w:cs="Andalus"/>
          <w:sz w:val="18"/>
          <w:szCs w:val="18"/>
        </w:rPr>
        <w:t xml:space="preserve">Trusts and Estates (Decedents' Estates; Trusts and Future Interests) </w:t>
      </w:r>
    </w:p>
    <w:p w:rsidR="00BA7290" w:rsidRPr="00BA7290" w:rsidRDefault="00BA7290" w:rsidP="00BA7290">
      <w:pPr>
        <w:pBdr>
          <w:top w:val="single" w:sz="12" w:space="1" w:color="auto"/>
          <w:bottom w:val="single" w:sz="12" w:space="1" w:color="auto"/>
        </w:pBdr>
        <w:spacing w:before="100" w:beforeAutospacing="1" w:after="0" w:line="240" w:lineRule="auto"/>
        <w:rPr>
          <w:rFonts w:ascii="Andalus" w:eastAsia="Times New Roman" w:hAnsi="Andalus" w:cs="Andalus"/>
          <w:sz w:val="18"/>
          <w:szCs w:val="18"/>
        </w:rPr>
      </w:pPr>
    </w:p>
    <w:p w:rsidR="00BA7290" w:rsidRPr="00BA7290" w:rsidRDefault="00BA7290" w:rsidP="00BA7290">
      <w:pPr>
        <w:pBdr>
          <w:bottom w:val="single" w:sz="12" w:space="1" w:color="auto"/>
        </w:pBdr>
        <w:spacing w:before="100" w:beforeAutospacing="1" w:after="0" w:line="240" w:lineRule="auto"/>
        <w:rPr>
          <w:rFonts w:ascii="Andalus" w:hAnsi="Andalus" w:cs="Andalus"/>
          <w:b/>
          <w:sz w:val="18"/>
          <w:szCs w:val="18"/>
        </w:rPr>
      </w:pPr>
      <w:r w:rsidRPr="00BA7290">
        <w:rPr>
          <w:rFonts w:ascii="Andalus" w:hAnsi="Andalus" w:cs="Andalus"/>
          <w:b/>
          <w:sz w:val="18"/>
          <w:szCs w:val="18"/>
        </w:rPr>
        <w:t xml:space="preserve">Pennsylvania: </w:t>
      </w:r>
    </w:p>
    <w:p w:rsidR="00BA7290" w:rsidRPr="00BA7290" w:rsidRDefault="00BA7290" w:rsidP="00BA7290">
      <w:pPr>
        <w:pBdr>
          <w:bottom w:val="single" w:sz="12" w:space="1" w:color="auto"/>
        </w:pBdr>
        <w:spacing w:before="100" w:beforeAutospacing="1" w:after="0" w:line="240" w:lineRule="auto"/>
        <w:rPr>
          <w:rStyle w:val="Hyperlink"/>
          <w:rFonts w:ascii="Andalus" w:hAnsi="Andalus" w:cs="Andalus"/>
          <w:sz w:val="18"/>
          <w:szCs w:val="18"/>
        </w:rPr>
      </w:pPr>
      <w:r w:rsidRPr="00BA7290">
        <w:rPr>
          <w:rFonts w:ascii="Andalus" w:hAnsi="Andalus" w:cs="Andalus"/>
          <w:sz w:val="18"/>
          <w:szCs w:val="18"/>
        </w:rPr>
        <w:t xml:space="preserve">The Pennsylvania Board of Law Examiners homepage:  </w:t>
      </w:r>
      <w:hyperlink r:id="rId8" w:history="1">
        <w:r w:rsidRPr="00BA7290">
          <w:rPr>
            <w:rStyle w:val="Hyperlink"/>
            <w:rFonts w:ascii="Andalus" w:hAnsi="Andalus" w:cs="Andalus"/>
            <w:sz w:val="18"/>
            <w:szCs w:val="18"/>
          </w:rPr>
          <w:t>http://www.pabarexam.org/</w:t>
        </w:r>
      </w:hyperlink>
    </w:p>
    <w:p w:rsidR="00BA7290" w:rsidRPr="00BA7290" w:rsidRDefault="00BA7290" w:rsidP="00BA7290">
      <w:pPr>
        <w:pBdr>
          <w:bottom w:val="single" w:sz="12" w:space="1" w:color="auto"/>
        </w:pBdr>
        <w:spacing w:before="100" w:beforeAutospacing="1" w:after="0" w:line="240" w:lineRule="auto"/>
        <w:rPr>
          <w:rFonts w:ascii="Andalus" w:hAnsi="Andalus" w:cs="Andalus"/>
          <w:sz w:val="18"/>
          <w:szCs w:val="18"/>
        </w:rPr>
      </w:pPr>
      <w:r w:rsidRPr="00BA7290">
        <w:rPr>
          <w:rFonts w:ascii="Andalus" w:hAnsi="Andalus" w:cs="Andalus"/>
          <w:sz w:val="18"/>
          <w:szCs w:val="18"/>
        </w:rPr>
        <w:t xml:space="preserve">Reciprocity/Admission on motion information: </w:t>
      </w:r>
      <w:hyperlink r:id="rId9" w:history="1">
        <w:r w:rsidRPr="00BA7290">
          <w:rPr>
            <w:rStyle w:val="Hyperlink"/>
            <w:rFonts w:ascii="Andalus" w:hAnsi="Andalus" w:cs="Andalus"/>
            <w:sz w:val="18"/>
            <w:szCs w:val="18"/>
          </w:rPr>
          <w:t>http://www.pabarexam.org/non_bar_exam_admission/reciprocity.htm</w:t>
        </w:r>
      </w:hyperlink>
      <w:r w:rsidRPr="00BA7290">
        <w:rPr>
          <w:rFonts w:ascii="Andalus" w:hAnsi="Andalus" w:cs="Andalus"/>
          <w:sz w:val="18"/>
          <w:szCs w:val="18"/>
        </w:rPr>
        <w:t xml:space="preserve"> </w:t>
      </w:r>
      <w:bookmarkStart w:id="0" w:name="5"/>
    </w:p>
    <w:p w:rsidR="00BA7290" w:rsidRPr="00BA7290" w:rsidRDefault="00BA7290" w:rsidP="00BA7290">
      <w:pPr>
        <w:pBdr>
          <w:bottom w:val="single" w:sz="12" w:space="1" w:color="auto"/>
        </w:pBdr>
        <w:spacing w:before="100" w:beforeAutospacing="1" w:after="0" w:line="240" w:lineRule="auto"/>
        <w:rPr>
          <w:sz w:val="18"/>
          <w:szCs w:val="18"/>
        </w:rPr>
      </w:pPr>
      <w:hyperlink r:id="rId10" w:history="1">
        <w:r w:rsidRPr="00BA7290">
          <w:rPr>
            <w:rStyle w:val="Hyperlink"/>
            <w:rFonts w:ascii="Andalus" w:hAnsi="Andalus" w:cs="Andalus"/>
            <w:sz w:val="18"/>
            <w:szCs w:val="18"/>
          </w:rPr>
          <w:t>http://www.pabarexam.org/bar_admission_rules/204.htm</w:t>
        </w:r>
      </w:hyperlink>
      <w:r w:rsidRPr="00BA7290">
        <w:rPr>
          <w:rFonts w:ascii="Andalus" w:hAnsi="Andalus" w:cs="Andalus"/>
          <w:sz w:val="18"/>
          <w:szCs w:val="18"/>
        </w:rPr>
        <w:t xml:space="preserve">  Rule 204</w:t>
      </w:r>
      <w:r w:rsidRPr="00BA7290">
        <w:rPr>
          <w:sz w:val="18"/>
          <w:szCs w:val="18"/>
        </w:rPr>
        <w:t>(5)</w:t>
      </w:r>
      <w:bookmarkEnd w:id="0"/>
      <w:r w:rsidRPr="00BA7290">
        <w:rPr>
          <w:sz w:val="18"/>
          <w:szCs w:val="18"/>
        </w:rPr>
        <w:t xml:space="preserve"> “Presentation of proof satisfactory to the Board that the applicant has either taken and passed the bar examination in a </w:t>
      </w:r>
      <w:hyperlink r:id="rId11" w:history="1">
        <w:r w:rsidRPr="00BA7290">
          <w:rPr>
            <w:color w:val="0000FF"/>
            <w:sz w:val="18"/>
            <w:szCs w:val="18"/>
            <w:u w:val="single"/>
          </w:rPr>
          <w:t>reciprocal state</w:t>
        </w:r>
      </w:hyperlink>
      <w:r w:rsidRPr="00BA7290">
        <w:rPr>
          <w:sz w:val="18"/>
          <w:szCs w:val="18"/>
        </w:rPr>
        <w:t xml:space="preserve"> or has devoted a </w:t>
      </w:r>
      <w:hyperlink r:id="rId12" w:history="1">
        <w:r w:rsidRPr="00BA7290">
          <w:rPr>
            <w:color w:val="0000FF"/>
            <w:sz w:val="18"/>
            <w:szCs w:val="18"/>
            <w:u w:val="single"/>
          </w:rPr>
          <w:t>major portion</w:t>
        </w:r>
      </w:hyperlink>
      <w:r w:rsidRPr="00BA7290">
        <w:rPr>
          <w:sz w:val="18"/>
          <w:szCs w:val="18"/>
        </w:rPr>
        <w:t xml:space="preserve"> of time and energy to the practice of law in a </w:t>
      </w:r>
      <w:hyperlink r:id="rId13" w:history="1">
        <w:r w:rsidRPr="00BA7290">
          <w:rPr>
            <w:color w:val="0000FF"/>
            <w:sz w:val="18"/>
            <w:szCs w:val="18"/>
            <w:u w:val="single"/>
          </w:rPr>
          <w:t>reciprocal state</w:t>
        </w:r>
      </w:hyperlink>
      <w:r w:rsidRPr="00BA7290">
        <w:rPr>
          <w:sz w:val="18"/>
          <w:szCs w:val="18"/>
        </w:rPr>
        <w:t xml:space="preserve"> for five years of the last seven years immediately preceding the date on which an application was filed under this rule.</w:t>
      </w:r>
    </w:p>
    <w:p w:rsidR="00BA7290" w:rsidRPr="00BA7290" w:rsidRDefault="00BA7290" w:rsidP="00BA7290">
      <w:pPr>
        <w:pBdr>
          <w:bottom w:val="single" w:sz="12" w:space="1" w:color="auto"/>
        </w:pBdr>
        <w:spacing w:before="100" w:beforeAutospacing="1" w:after="0" w:line="240" w:lineRule="auto"/>
        <w:rPr>
          <w:rFonts w:ascii="Andalus" w:hAnsi="Andalus" w:cs="Andalus"/>
          <w:sz w:val="18"/>
          <w:szCs w:val="18"/>
        </w:rPr>
      </w:pPr>
    </w:p>
    <w:p w:rsidR="00BA7290" w:rsidRPr="00BA7290" w:rsidRDefault="00BA7290" w:rsidP="00BA7290">
      <w:pPr>
        <w:pBdr>
          <w:bottom w:val="single" w:sz="12" w:space="1" w:color="auto"/>
        </w:pBdr>
        <w:rPr>
          <w:rFonts w:ascii="Andalus" w:hAnsi="Andalus" w:cs="Andalus"/>
          <w:sz w:val="18"/>
          <w:szCs w:val="18"/>
        </w:rPr>
      </w:pPr>
      <w:r w:rsidRPr="00BA7290">
        <w:rPr>
          <w:rFonts w:ascii="Andalus" w:hAnsi="Andalus" w:cs="Andalus"/>
          <w:b/>
          <w:sz w:val="18"/>
          <w:szCs w:val="18"/>
        </w:rPr>
        <w:t xml:space="preserve">Delaware: </w:t>
      </w:r>
      <w:r w:rsidRPr="00BA7290">
        <w:rPr>
          <w:rFonts w:ascii="Andalus" w:hAnsi="Andalus" w:cs="Andalus"/>
          <w:sz w:val="18"/>
          <w:szCs w:val="18"/>
        </w:rPr>
        <w:t xml:space="preserve"> </w:t>
      </w:r>
      <w:hyperlink r:id="rId14" w:history="1">
        <w:r w:rsidRPr="00BA7290">
          <w:rPr>
            <w:rStyle w:val="Hyperlink"/>
            <w:rFonts w:ascii="Andalus" w:hAnsi="Andalus" w:cs="Andalus"/>
            <w:sz w:val="18"/>
            <w:szCs w:val="18"/>
          </w:rPr>
          <w:t>http://www.courts.state.de.us/bbe/</w:t>
        </w:r>
      </w:hyperlink>
      <w:r w:rsidRPr="00BA7290">
        <w:rPr>
          <w:rFonts w:ascii="Andalus" w:hAnsi="Andalus" w:cs="Andalus"/>
          <w:sz w:val="18"/>
          <w:szCs w:val="18"/>
        </w:rPr>
        <w:t xml:space="preserve">  (Note that Delaware does not administer a February Exam)</w:t>
      </w:r>
    </w:p>
    <w:p w:rsidR="00BA7290" w:rsidRDefault="00BA7290" w:rsidP="00BA7290">
      <w:pPr>
        <w:pBdr>
          <w:bottom w:val="single" w:sz="12" w:space="1" w:color="auto"/>
        </w:pBdr>
        <w:rPr>
          <w:rFonts w:ascii="Andalus" w:hAnsi="Andalus" w:cs="Andalus"/>
          <w:sz w:val="18"/>
          <w:szCs w:val="18"/>
        </w:rPr>
      </w:pPr>
      <w:r w:rsidRPr="00BA7290">
        <w:rPr>
          <w:rFonts w:ascii="Andalus" w:hAnsi="Andalus" w:cs="Andalus"/>
          <w:sz w:val="18"/>
          <w:szCs w:val="18"/>
        </w:rPr>
        <w:t>See</w:t>
      </w:r>
      <w:r w:rsidRPr="00BA7290">
        <w:rPr>
          <w:sz w:val="18"/>
          <w:szCs w:val="18"/>
        </w:rPr>
        <w:t xml:space="preserve"> </w:t>
      </w:r>
      <w:r w:rsidRPr="00BA7290">
        <w:rPr>
          <w:rFonts w:ascii="Andalus" w:hAnsi="Andalus" w:cs="Andalus"/>
          <w:sz w:val="18"/>
          <w:szCs w:val="18"/>
        </w:rPr>
        <w:t xml:space="preserve">National Conference of Bar Examiners:  </w:t>
      </w:r>
      <w:hyperlink r:id="rId15" w:history="1">
        <w:r w:rsidRPr="00BA7290">
          <w:rPr>
            <w:rStyle w:val="Hyperlink"/>
            <w:rFonts w:ascii="Andalus" w:hAnsi="Andalus" w:cs="Andalus"/>
            <w:sz w:val="18"/>
            <w:szCs w:val="18"/>
          </w:rPr>
          <w:t>http://www.ncbex.org/</w:t>
        </w:r>
      </w:hyperlink>
      <w:r w:rsidRPr="00BA7290">
        <w:rPr>
          <w:rFonts w:ascii="Andalus" w:hAnsi="Andalus" w:cs="Andalus"/>
          <w:sz w:val="18"/>
          <w:szCs w:val="18"/>
        </w:rPr>
        <w:t xml:space="preserve"> for other jurisdictions.</w:t>
      </w:r>
    </w:p>
    <w:p w:rsidR="00BA7290" w:rsidRDefault="00BA7290" w:rsidP="00BA7290">
      <w:pPr>
        <w:pBdr>
          <w:bottom w:val="single" w:sz="12" w:space="1" w:color="auto"/>
        </w:pBdr>
        <w:rPr>
          <w:rFonts w:ascii="Andalus" w:hAnsi="Andalus" w:cs="Andalus"/>
          <w:sz w:val="18"/>
          <w:szCs w:val="18"/>
        </w:rPr>
      </w:pPr>
    </w:p>
    <w:p w:rsidR="00BA7290" w:rsidRDefault="00BA7290" w:rsidP="00BA7290">
      <w:pPr>
        <w:pBdr>
          <w:bottom w:val="single" w:sz="12" w:space="1" w:color="auto"/>
        </w:pBdr>
        <w:rPr>
          <w:rFonts w:ascii="Andalus" w:hAnsi="Andalus" w:cs="Andalus"/>
          <w:sz w:val="18"/>
          <w:szCs w:val="18"/>
        </w:rPr>
      </w:pPr>
    </w:p>
    <w:p w:rsidR="007E0621" w:rsidRPr="00BA7290" w:rsidRDefault="007E0621" w:rsidP="007E0621">
      <w:pPr>
        <w:rPr>
          <w:rFonts w:ascii="Andalus" w:hAnsi="Andalus" w:cs="Andalus"/>
          <w:b/>
          <w:sz w:val="20"/>
          <w:szCs w:val="20"/>
        </w:rPr>
      </w:pPr>
      <w:bookmarkStart w:id="1" w:name="_GoBack"/>
      <w:bookmarkEnd w:id="1"/>
      <w:r w:rsidRPr="00BA7290">
        <w:rPr>
          <w:rFonts w:ascii="Andalus" w:hAnsi="Andalus" w:cs="Andalus"/>
          <w:b/>
          <w:sz w:val="20"/>
          <w:szCs w:val="20"/>
        </w:rPr>
        <w:lastRenderedPageBreak/>
        <w:t>Preparing for the Bar Exam</w:t>
      </w:r>
    </w:p>
    <w:p w:rsidR="007E0621" w:rsidRPr="00BA7290" w:rsidRDefault="007E0621" w:rsidP="007E0621">
      <w:pPr>
        <w:rPr>
          <w:rFonts w:ascii="Andalus" w:hAnsi="Andalus" w:cs="Andalus"/>
          <w:b/>
          <w:sz w:val="20"/>
          <w:szCs w:val="20"/>
        </w:rPr>
      </w:pPr>
      <w:r w:rsidRPr="00BA7290">
        <w:rPr>
          <w:rFonts w:ascii="Andalus" w:hAnsi="Andalus" w:cs="Andalus"/>
          <w:b/>
          <w:sz w:val="20"/>
          <w:szCs w:val="20"/>
        </w:rPr>
        <w:t>Traditionally:</w:t>
      </w:r>
    </w:p>
    <w:tbl>
      <w:tblPr>
        <w:tblStyle w:val="TableGrid"/>
        <w:tblW w:w="0" w:type="auto"/>
        <w:tblInd w:w="0" w:type="dxa"/>
        <w:tblLook w:val="04A0" w:firstRow="1" w:lastRow="0" w:firstColumn="1" w:lastColumn="0" w:noHBand="0" w:noVBand="1"/>
      </w:tblPr>
      <w:tblGrid>
        <w:gridCol w:w="1552"/>
        <w:gridCol w:w="1589"/>
        <w:gridCol w:w="1547"/>
        <w:gridCol w:w="1552"/>
        <w:gridCol w:w="1587"/>
        <w:gridCol w:w="1523"/>
      </w:tblGrid>
      <w:tr w:rsidR="007E0621" w:rsidRPr="00BA7290" w:rsidTr="001A132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Fall Semester</w:t>
            </w: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Dec./Jan./Feb.</w:t>
            </w: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February Bar Exam</w:t>
            </w: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Spring Semester</w:t>
            </w: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May/June/July</w:t>
            </w: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July Bar Exam</w:t>
            </w:r>
          </w:p>
        </w:tc>
      </w:tr>
      <w:tr w:rsidR="007E0621" w:rsidRPr="00BA7290" w:rsidTr="001A132C">
        <w:tc>
          <w:tcPr>
            <w:tcW w:w="1596" w:type="dxa"/>
            <w:tcBorders>
              <w:top w:val="single" w:sz="4" w:space="0" w:color="auto"/>
              <w:left w:val="single" w:sz="4" w:space="0" w:color="auto"/>
              <w:bottom w:val="single" w:sz="4" w:space="0" w:color="auto"/>
              <w:right w:val="single" w:sz="4" w:space="0" w:color="auto"/>
            </w:tcBorders>
          </w:tcPr>
          <w:p w:rsidR="007E0621" w:rsidRPr="00BA7290" w:rsidRDefault="007E0621" w:rsidP="001A132C">
            <w:pPr>
              <w:rPr>
                <w:rFonts w:ascii="Andalus" w:hAnsi="Andalus" w:cs="Andalus"/>
                <w:b/>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Full-time bar prep</w:t>
            </w: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January grads take exam</w:t>
            </w:r>
          </w:p>
        </w:tc>
        <w:tc>
          <w:tcPr>
            <w:tcW w:w="1596" w:type="dxa"/>
            <w:tcBorders>
              <w:top w:val="single" w:sz="4" w:space="0" w:color="auto"/>
              <w:left w:val="single" w:sz="4" w:space="0" w:color="auto"/>
              <w:bottom w:val="single" w:sz="4" w:space="0" w:color="auto"/>
              <w:right w:val="single" w:sz="4" w:space="0" w:color="auto"/>
            </w:tcBorders>
          </w:tcPr>
          <w:p w:rsidR="007E0621" w:rsidRPr="00BA7290" w:rsidRDefault="007E0621" w:rsidP="001A132C">
            <w:pPr>
              <w:rPr>
                <w:rFonts w:ascii="Andalus" w:hAnsi="Andalus" w:cs="Andalus"/>
                <w:b/>
                <w:sz w:val="20"/>
                <w:szCs w:val="20"/>
              </w:rPr>
            </w:pP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Full time bar prep</w:t>
            </w: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May grads take exam</w:t>
            </w:r>
          </w:p>
        </w:tc>
      </w:tr>
    </w:tbl>
    <w:p w:rsidR="007E0621" w:rsidRPr="00BA7290" w:rsidRDefault="007E0621" w:rsidP="007E0621">
      <w:pPr>
        <w:rPr>
          <w:rFonts w:ascii="Andalus" w:hAnsi="Andalus" w:cs="Andalus"/>
          <w:b/>
          <w:sz w:val="20"/>
          <w:szCs w:val="20"/>
        </w:rPr>
      </w:pPr>
      <w:r w:rsidRPr="00BA7290">
        <w:rPr>
          <w:rFonts w:ascii="Andalus" w:hAnsi="Andalus" w:cs="Andalus"/>
          <w:b/>
          <w:sz w:val="20"/>
          <w:szCs w:val="20"/>
        </w:rPr>
        <w:t>More Recently:</w:t>
      </w:r>
    </w:p>
    <w:tbl>
      <w:tblPr>
        <w:tblStyle w:val="TableGrid"/>
        <w:tblW w:w="0" w:type="auto"/>
        <w:tblInd w:w="0" w:type="dxa"/>
        <w:tblLook w:val="04A0" w:firstRow="1" w:lastRow="0" w:firstColumn="1" w:lastColumn="0" w:noHBand="0" w:noVBand="1"/>
      </w:tblPr>
      <w:tblGrid>
        <w:gridCol w:w="1550"/>
        <w:gridCol w:w="1589"/>
        <w:gridCol w:w="1545"/>
        <w:gridCol w:w="1560"/>
        <w:gridCol w:w="1587"/>
        <w:gridCol w:w="1519"/>
      </w:tblGrid>
      <w:tr w:rsidR="007E0621" w:rsidRPr="00BA7290" w:rsidTr="001A132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Fall Semester</w:t>
            </w: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Dec./Jan./Feb.</w:t>
            </w: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February Bar Exam</w:t>
            </w: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Spring Semester</w:t>
            </w: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May/June/July</w:t>
            </w: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July Bar Exam</w:t>
            </w:r>
          </w:p>
        </w:tc>
      </w:tr>
      <w:tr w:rsidR="007E0621" w:rsidRPr="00BA7290" w:rsidTr="001A132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(See Professor Nissen)</w:t>
            </w:r>
          </w:p>
        </w:tc>
        <w:tc>
          <w:tcPr>
            <w:tcW w:w="1596" w:type="dxa"/>
            <w:tcBorders>
              <w:top w:val="single" w:sz="4" w:space="0" w:color="auto"/>
              <w:left w:val="single" w:sz="4" w:space="0" w:color="auto"/>
              <w:bottom w:val="single" w:sz="4" w:space="0" w:color="auto"/>
              <w:right w:val="single" w:sz="4" w:space="0" w:color="auto"/>
            </w:tcBorders>
          </w:tcPr>
          <w:p w:rsidR="007E0621" w:rsidRPr="00BA7290" w:rsidRDefault="007E0621" w:rsidP="001A132C">
            <w:pPr>
              <w:rPr>
                <w:rFonts w:ascii="Andalus" w:hAnsi="Andalus" w:cs="Andalus"/>
                <w:sz w:val="20"/>
                <w:szCs w:val="20"/>
              </w:rPr>
            </w:pPr>
            <w:r w:rsidRPr="00BA7290">
              <w:rPr>
                <w:rFonts w:ascii="Andalus" w:hAnsi="Andalus" w:cs="Andalus"/>
                <w:sz w:val="20"/>
                <w:szCs w:val="20"/>
              </w:rPr>
              <w:t>Full-time bar prep for Feb. takers</w:t>
            </w:r>
          </w:p>
          <w:p w:rsidR="007E0621" w:rsidRPr="00BA7290" w:rsidRDefault="007E0621" w:rsidP="001A132C">
            <w:pPr>
              <w:rPr>
                <w:rFonts w:ascii="Andalus" w:hAnsi="Andalus" w:cs="Andalus"/>
                <w:sz w:val="20"/>
                <w:szCs w:val="20"/>
              </w:rPr>
            </w:pPr>
          </w:p>
          <w:p w:rsidR="007E0621" w:rsidRPr="00BA7290" w:rsidRDefault="007E0621" w:rsidP="001A132C">
            <w:pPr>
              <w:rPr>
                <w:rFonts w:ascii="Andalus" w:hAnsi="Andalus" w:cs="Andalus"/>
                <w:sz w:val="20"/>
                <w:szCs w:val="20"/>
              </w:rPr>
            </w:pPr>
            <w:r w:rsidRPr="00BA7290">
              <w:rPr>
                <w:rFonts w:ascii="Andalus" w:hAnsi="Andalus" w:cs="Andalus"/>
                <w:sz w:val="20"/>
                <w:szCs w:val="20"/>
              </w:rPr>
              <w:t>July takers sign-up for FLA course</w:t>
            </w: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January grads take exam</w:t>
            </w:r>
          </w:p>
        </w:tc>
        <w:tc>
          <w:tcPr>
            <w:tcW w:w="1596" w:type="dxa"/>
            <w:tcBorders>
              <w:top w:val="single" w:sz="4" w:space="0" w:color="auto"/>
              <w:left w:val="single" w:sz="4" w:space="0" w:color="auto"/>
              <w:bottom w:val="single" w:sz="4" w:space="0" w:color="auto"/>
              <w:right w:val="single" w:sz="4" w:space="0" w:color="auto"/>
            </w:tcBorders>
          </w:tcPr>
          <w:p w:rsidR="007E0621" w:rsidRPr="00BA7290" w:rsidRDefault="007E0621" w:rsidP="001A132C">
            <w:pPr>
              <w:rPr>
                <w:rFonts w:ascii="Andalus" w:hAnsi="Andalus" w:cs="Andalus"/>
                <w:sz w:val="20"/>
                <w:szCs w:val="20"/>
              </w:rPr>
            </w:pPr>
            <w:r w:rsidRPr="00BA7290">
              <w:rPr>
                <w:rFonts w:ascii="Andalus" w:hAnsi="Andalus" w:cs="Andalus"/>
                <w:sz w:val="20"/>
                <w:szCs w:val="20"/>
              </w:rPr>
              <w:t>For some students:</w:t>
            </w:r>
          </w:p>
          <w:p w:rsidR="007E0621" w:rsidRPr="00BA7290" w:rsidRDefault="007E0621" w:rsidP="001A132C">
            <w:pPr>
              <w:rPr>
                <w:rFonts w:ascii="Andalus" w:hAnsi="Andalus" w:cs="Andalus"/>
                <w:sz w:val="20"/>
                <w:szCs w:val="20"/>
              </w:rPr>
            </w:pPr>
            <w:r w:rsidRPr="00BA7290">
              <w:rPr>
                <w:rFonts w:ascii="Andalus" w:hAnsi="Andalus" w:cs="Andalus"/>
                <w:sz w:val="20"/>
                <w:szCs w:val="20"/>
              </w:rPr>
              <w:t>FLA course (MBE, Essays and PTs) with Professor permission</w:t>
            </w: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Prep:</w:t>
            </w:r>
          </w:p>
          <w:p w:rsidR="007E0621" w:rsidRPr="00BA7290" w:rsidRDefault="007E0621" w:rsidP="001A132C">
            <w:pPr>
              <w:rPr>
                <w:rFonts w:ascii="Andalus" w:hAnsi="Andalus" w:cs="Andalus"/>
                <w:sz w:val="20"/>
                <w:szCs w:val="20"/>
              </w:rPr>
            </w:pPr>
            <w:r w:rsidRPr="00BA7290">
              <w:rPr>
                <w:rFonts w:ascii="Andalus" w:hAnsi="Andalus" w:cs="Andalus"/>
                <w:sz w:val="20"/>
                <w:szCs w:val="20"/>
              </w:rPr>
              <w:t>Continue reviewing MBE subjects and any additional subjects for essays; practice performance tests</w:t>
            </w:r>
          </w:p>
        </w:tc>
        <w:tc>
          <w:tcPr>
            <w:tcW w:w="1596" w:type="dxa"/>
            <w:tcBorders>
              <w:top w:val="single" w:sz="4" w:space="0" w:color="auto"/>
              <w:left w:val="single" w:sz="4" w:space="0" w:color="auto"/>
              <w:bottom w:val="single" w:sz="4" w:space="0" w:color="auto"/>
              <w:right w:val="single" w:sz="4" w:space="0" w:color="auto"/>
            </w:tcBorders>
            <w:hideMark/>
          </w:tcPr>
          <w:p w:rsidR="007E0621" w:rsidRPr="00BA7290" w:rsidRDefault="007E0621" w:rsidP="001A132C">
            <w:pPr>
              <w:rPr>
                <w:rFonts w:ascii="Andalus" w:hAnsi="Andalus" w:cs="Andalus"/>
                <w:sz w:val="20"/>
                <w:szCs w:val="20"/>
              </w:rPr>
            </w:pPr>
            <w:r w:rsidRPr="00BA7290">
              <w:rPr>
                <w:rFonts w:ascii="Andalus" w:hAnsi="Andalus" w:cs="Andalus"/>
                <w:sz w:val="20"/>
                <w:szCs w:val="20"/>
              </w:rPr>
              <w:t>May grads take exam</w:t>
            </w:r>
          </w:p>
        </w:tc>
      </w:tr>
    </w:tbl>
    <w:p w:rsidR="007E0621" w:rsidRPr="00BA7290" w:rsidRDefault="007E0621" w:rsidP="007E0621">
      <w:pPr>
        <w:rPr>
          <w:rFonts w:ascii="Andalus" w:hAnsi="Andalus" w:cs="Andalus"/>
          <w:sz w:val="20"/>
          <w:szCs w:val="20"/>
        </w:rPr>
      </w:pPr>
      <w:r w:rsidRPr="00BA7290">
        <w:rPr>
          <w:rFonts w:ascii="Andalus" w:hAnsi="Andalus" w:cs="Andalus"/>
          <w:sz w:val="20"/>
          <w:szCs w:val="20"/>
        </w:rPr>
        <w:t>The bar exam has become tougher for students across the country to pass.  The traditional eight weeks of bar preparation is not sufficient for everyone. Who is at risk, and may need more support:</w:t>
      </w:r>
    </w:p>
    <w:p w:rsidR="007E0621" w:rsidRPr="00BA7290" w:rsidRDefault="007E0621" w:rsidP="007E0621">
      <w:pPr>
        <w:pStyle w:val="ListParagraph"/>
        <w:numPr>
          <w:ilvl w:val="0"/>
          <w:numId w:val="1"/>
        </w:numPr>
        <w:rPr>
          <w:rFonts w:ascii="Andalus" w:hAnsi="Andalus" w:cs="Andalus"/>
          <w:sz w:val="20"/>
          <w:szCs w:val="20"/>
        </w:rPr>
      </w:pPr>
      <w:r w:rsidRPr="00BA7290">
        <w:rPr>
          <w:rFonts w:ascii="Andalus" w:hAnsi="Andalus" w:cs="Andalus"/>
          <w:sz w:val="20"/>
          <w:szCs w:val="20"/>
        </w:rPr>
        <w:t>Those who did not do well in 1L subjects, or in Evidence and Criminal Procedure:  Investigations</w:t>
      </w:r>
    </w:p>
    <w:p w:rsidR="007E0621" w:rsidRPr="00BA7290" w:rsidRDefault="007E0621" w:rsidP="007E0621">
      <w:pPr>
        <w:pStyle w:val="ListParagraph"/>
        <w:numPr>
          <w:ilvl w:val="0"/>
          <w:numId w:val="1"/>
        </w:numPr>
        <w:rPr>
          <w:rFonts w:ascii="Andalus" w:hAnsi="Andalus" w:cs="Andalus"/>
          <w:sz w:val="20"/>
          <w:szCs w:val="20"/>
        </w:rPr>
      </w:pPr>
      <w:r w:rsidRPr="00BA7290">
        <w:rPr>
          <w:rFonts w:ascii="Andalus" w:hAnsi="Andalus" w:cs="Andalus"/>
          <w:sz w:val="20"/>
          <w:szCs w:val="20"/>
        </w:rPr>
        <w:t xml:space="preserve">Those who did not take or do well in upper class courses tested </w:t>
      </w:r>
      <w:proofErr w:type="gramStart"/>
      <w:r w:rsidRPr="00BA7290">
        <w:rPr>
          <w:rFonts w:ascii="Andalus" w:hAnsi="Andalus" w:cs="Andalus"/>
          <w:sz w:val="20"/>
          <w:szCs w:val="20"/>
        </w:rPr>
        <w:t>in particular jurisdictions</w:t>
      </w:r>
      <w:proofErr w:type="gramEnd"/>
    </w:p>
    <w:p w:rsidR="007E0621" w:rsidRPr="00BA7290" w:rsidRDefault="007E0621" w:rsidP="007E0621">
      <w:pPr>
        <w:pStyle w:val="ListParagraph"/>
        <w:numPr>
          <w:ilvl w:val="0"/>
          <w:numId w:val="1"/>
        </w:numPr>
        <w:rPr>
          <w:rFonts w:ascii="Andalus" w:hAnsi="Andalus" w:cs="Andalus"/>
          <w:sz w:val="20"/>
          <w:szCs w:val="20"/>
        </w:rPr>
      </w:pPr>
      <w:r w:rsidRPr="00BA7290">
        <w:rPr>
          <w:rFonts w:ascii="Andalus" w:hAnsi="Andalus" w:cs="Andalus"/>
          <w:sz w:val="20"/>
          <w:szCs w:val="20"/>
        </w:rPr>
        <w:t>Those who had few in-class, timed, closed book exams and have little practice with memorization or answering multiple choice or writing essays under timed conditions, and do not practice enough</w:t>
      </w:r>
    </w:p>
    <w:p w:rsidR="007E0621" w:rsidRPr="00BA7290" w:rsidRDefault="007E0621" w:rsidP="007E0621">
      <w:pPr>
        <w:pStyle w:val="ListParagraph"/>
        <w:numPr>
          <w:ilvl w:val="0"/>
          <w:numId w:val="1"/>
        </w:numPr>
        <w:rPr>
          <w:rFonts w:ascii="Andalus" w:hAnsi="Andalus" w:cs="Andalus"/>
          <w:sz w:val="20"/>
          <w:szCs w:val="20"/>
        </w:rPr>
      </w:pPr>
      <w:r w:rsidRPr="00BA7290">
        <w:rPr>
          <w:rFonts w:ascii="Andalus" w:hAnsi="Andalus" w:cs="Andalus"/>
          <w:sz w:val="20"/>
          <w:szCs w:val="20"/>
        </w:rPr>
        <w:t>Those who are fatigued by six essays and two performance tests in a single day</w:t>
      </w:r>
    </w:p>
    <w:p w:rsidR="007E0621" w:rsidRPr="00BA7290" w:rsidRDefault="007E0621" w:rsidP="007E0621">
      <w:pPr>
        <w:pStyle w:val="ListParagraph"/>
        <w:numPr>
          <w:ilvl w:val="0"/>
          <w:numId w:val="1"/>
        </w:numPr>
        <w:rPr>
          <w:rFonts w:ascii="Andalus" w:hAnsi="Andalus" w:cs="Andalus"/>
          <w:sz w:val="20"/>
          <w:szCs w:val="20"/>
        </w:rPr>
      </w:pPr>
      <w:r w:rsidRPr="00BA7290">
        <w:rPr>
          <w:rFonts w:ascii="Andalus" w:hAnsi="Andalus" w:cs="Andalus"/>
          <w:sz w:val="20"/>
          <w:szCs w:val="20"/>
        </w:rPr>
        <w:t>Those who have testing anxiety</w:t>
      </w:r>
    </w:p>
    <w:p w:rsidR="007E0621" w:rsidRPr="00BA7290" w:rsidRDefault="007E0621" w:rsidP="007E0621">
      <w:pPr>
        <w:pStyle w:val="ListParagraph"/>
        <w:numPr>
          <w:ilvl w:val="0"/>
          <w:numId w:val="1"/>
        </w:numPr>
        <w:rPr>
          <w:sz w:val="20"/>
          <w:szCs w:val="20"/>
        </w:rPr>
      </w:pPr>
      <w:r w:rsidRPr="00BA7290">
        <w:rPr>
          <w:rFonts w:ascii="Andalus" w:hAnsi="Andalus" w:cs="Andalus"/>
          <w:sz w:val="20"/>
          <w:szCs w:val="20"/>
        </w:rPr>
        <w:t>Those who need to work during the traditional bar preparation period</w:t>
      </w:r>
    </w:p>
    <w:p w:rsidR="007E0621" w:rsidRPr="00BA7290" w:rsidRDefault="007E0621" w:rsidP="007E0621">
      <w:pPr>
        <w:pStyle w:val="ListParagraph"/>
        <w:pBdr>
          <w:bottom w:val="single" w:sz="12" w:space="1" w:color="auto"/>
        </w:pBdr>
        <w:rPr>
          <w:rFonts w:ascii="Andalus" w:hAnsi="Andalus" w:cs="Andalus"/>
          <w:sz w:val="20"/>
          <w:szCs w:val="20"/>
        </w:rPr>
      </w:pPr>
    </w:p>
    <w:p w:rsidR="007E0621" w:rsidRPr="00BA7290" w:rsidRDefault="007E0621" w:rsidP="007E0621">
      <w:pPr>
        <w:pStyle w:val="ListParagraph"/>
        <w:rPr>
          <w:rFonts w:ascii="Andalus" w:hAnsi="Andalus" w:cs="Andalus"/>
          <w:sz w:val="20"/>
          <w:szCs w:val="20"/>
        </w:rPr>
      </w:pPr>
    </w:p>
    <w:p w:rsidR="007E0621" w:rsidRPr="00BA7290" w:rsidRDefault="007E0621" w:rsidP="007E0621">
      <w:pPr>
        <w:pStyle w:val="ListParagraph"/>
        <w:rPr>
          <w:rFonts w:ascii="Andalus" w:hAnsi="Andalus" w:cs="Andalus"/>
          <w:sz w:val="20"/>
          <w:szCs w:val="20"/>
        </w:rPr>
      </w:pPr>
      <w:r w:rsidRPr="00BA7290">
        <w:rPr>
          <w:rFonts w:ascii="Andalus" w:hAnsi="Andalus" w:cs="Andalus"/>
          <w:b/>
          <w:sz w:val="20"/>
          <w:szCs w:val="20"/>
        </w:rPr>
        <w:t>Bar forms:</w:t>
      </w:r>
      <w:r w:rsidRPr="00BA7290">
        <w:rPr>
          <w:rFonts w:ascii="Andalus" w:hAnsi="Andalus" w:cs="Andalus"/>
          <w:sz w:val="20"/>
          <w:szCs w:val="20"/>
        </w:rPr>
        <w:t xml:space="preserve"> bring them to Student Affairs, Room E-321, well before the deadline.</w:t>
      </w:r>
    </w:p>
    <w:p w:rsidR="00BA7290" w:rsidRPr="00BA7290" w:rsidRDefault="00BA7290" w:rsidP="007E0621">
      <w:pPr>
        <w:pStyle w:val="ListParagraph"/>
        <w:rPr>
          <w:rFonts w:ascii="Andalus" w:hAnsi="Andalus" w:cs="Andalus"/>
          <w:b/>
          <w:sz w:val="20"/>
          <w:szCs w:val="20"/>
        </w:rPr>
      </w:pPr>
    </w:p>
    <w:p w:rsidR="007E0621" w:rsidRPr="00BA7290" w:rsidRDefault="007E0621" w:rsidP="007E0621">
      <w:pPr>
        <w:pStyle w:val="ListParagraph"/>
        <w:rPr>
          <w:rFonts w:ascii="Andalus" w:hAnsi="Andalus" w:cs="Andalus"/>
          <w:sz w:val="20"/>
          <w:szCs w:val="20"/>
        </w:rPr>
      </w:pPr>
      <w:r w:rsidRPr="00BA7290">
        <w:rPr>
          <w:rFonts w:ascii="Andalus" w:hAnsi="Andalus" w:cs="Andalus"/>
          <w:b/>
          <w:sz w:val="20"/>
          <w:szCs w:val="20"/>
        </w:rPr>
        <w:t>Accommodations:</w:t>
      </w:r>
      <w:r w:rsidRPr="00BA7290">
        <w:rPr>
          <w:rFonts w:ascii="Andalus" w:hAnsi="Andalus" w:cs="Andalus"/>
          <w:sz w:val="20"/>
          <w:szCs w:val="20"/>
        </w:rPr>
        <w:t xml:space="preserve"> check the website of the jurisdiction where you plan to take the exam for the necessary forms.  If you need forms regarding which accommodations you had in law school, bring them to Student Affairs, Room E-321, well before the deadline.</w:t>
      </w:r>
    </w:p>
    <w:p w:rsidR="00BA7290" w:rsidRPr="00BA7290" w:rsidRDefault="00BA7290" w:rsidP="007E0621">
      <w:pPr>
        <w:pStyle w:val="ListParagraph"/>
        <w:rPr>
          <w:rFonts w:ascii="Andalus" w:hAnsi="Andalus" w:cs="Andalus"/>
          <w:b/>
          <w:sz w:val="20"/>
          <w:szCs w:val="20"/>
        </w:rPr>
      </w:pPr>
    </w:p>
    <w:p w:rsidR="007E0621" w:rsidRPr="00BA7290" w:rsidRDefault="007E0621" w:rsidP="007E0621">
      <w:pPr>
        <w:pStyle w:val="ListParagraph"/>
        <w:rPr>
          <w:rFonts w:ascii="Andalus" w:hAnsi="Andalus" w:cs="Andalus"/>
          <w:sz w:val="20"/>
          <w:szCs w:val="20"/>
        </w:rPr>
      </w:pPr>
      <w:r w:rsidRPr="00BA7290">
        <w:rPr>
          <w:rFonts w:ascii="Andalus" w:hAnsi="Andalus" w:cs="Andalus"/>
          <w:b/>
          <w:sz w:val="20"/>
          <w:szCs w:val="20"/>
        </w:rPr>
        <w:t>Transcripts:</w:t>
      </w:r>
      <w:r w:rsidRPr="00BA7290">
        <w:rPr>
          <w:sz w:val="20"/>
          <w:szCs w:val="20"/>
        </w:rPr>
        <w:t xml:space="preserve"> </w:t>
      </w:r>
      <w:r w:rsidRPr="00BA7290">
        <w:rPr>
          <w:rFonts w:ascii="Andalus" w:hAnsi="Andalus" w:cs="Andalus"/>
          <w:sz w:val="20"/>
          <w:szCs w:val="20"/>
        </w:rPr>
        <w:t xml:space="preserve">contact the Registrar’s office, </w:t>
      </w:r>
      <w:hyperlink r:id="rId16" w:history="1">
        <w:r w:rsidRPr="00BA7290">
          <w:rPr>
            <w:rStyle w:val="Hyperlink"/>
            <w:rFonts w:ascii="Andalus" w:hAnsi="Andalus" w:cs="Andalus"/>
            <w:sz w:val="20"/>
            <w:szCs w:val="20"/>
          </w:rPr>
          <w:t>https://registrar.camden.rutgers.edu/</w:t>
        </w:r>
      </w:hyperlink>
      <w:r w:rsidRPr="00BA7290">
        <w:rPr>
          <w:rFonts w:ascii="Andalus" w:hAnsi="Andalus" w:cs="Andalus"/>
          <w:sz w:val="20"/>
          <w:szCs w:val="20"/>
        </w:rPr>
        <w:t xml:space="preserve"> </w:t>
      </w:r>
    </w:p>
    <w:p w:rsidR="00EC0297" w:rsidRDefault="00EC0297"/>
    <w:sectPr w:rsidR="00EC0297">
      <w:footerReference w:type="defaul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451279"/>
      <w:docPartObj>
        <w:docPartGallery w:val="Page Numbers (Bottom of Page)"/>
        <w:docPartUnique/>
      </w:docPartObj>
    </w:sdtPr>
    <w:sdtEndPr>
      <w:rPr>
        <w:noProof/>
      </w:rPr>
    </w:sdtEndPr>
    <w:sdtContent>
      <w:p w:rsidR="00051FC4" w:rsidRDefault="00C20861">
        <w:pPr>
          <w:pStyle w:val="Footer"/>
          <w:jc w:val="right"/>
        </w:pPr>
        <w:r>
          <w:fldChar w:fldCharType="begin"/>
        </w:r>
        <w:r>
          <w:instrText xml:space="preserve"> PAG</w:instrText>
        </w:r>
        <w:r>
          <w:instrText xml:space="preserve">E   \* MERGEFORMAT </w:instrText>
        </w:r>
        <w:r>
          <w:fldChar w:fldCharType="separate"/>
        </w:r>
        <w:r>
          <w:rPr>
            <w:noProof/>
          </w:rPr>
          <w:t>1</w:t>
        </w:r>
        <w:r>
          <w:rPr>
            <w:noProof/>
          </w:rPr>
          <w:fldChar w:fldCharType="end"/>
        </w:r>
      </w:p>
    </w:sdtContent>
  </w:sdt>
  <w:p w:rsidR="00051FC4" w:rsidRDefault="00C2086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37D5B"/>
    <w:multiLevelType w:val="hybridMultilevel"/>
    <w:tmpl w:val="95D6B958"/>
    <w:lvl w:ilvl="0" w:tplc="CFEC3CB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621"/>
    <w:rsid w:val="007E0621"/>
    <w:rsid w:val="00BA7290"/>
    <w:rsid w:val="00C20861"/>
    <w:rsid w:val="00D4258C"/>
    <w:rsid w:val="00EC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803E"/>
  <w15:chartTrackingRefBased/>
  <w15:docId w15:val="{63362BA7-1F2E-4C2D-81DA-CFDE3B15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621"/>
    <w:rPr>
      <w:color w:val="0000FF" w:themeColor="hyperlink"/>
      <w:u w:val="single"/>
    </w:rPr>
  </w:style>
  <w:style w:type="paragraph" w:styleId="ListParagraph">
    <w:name w:val="List Paragraph"/>
    <w:basedOn w:val="Normal"/>
    <w:uiPriority w:val="34"/>
    <w:qFormat/>
    <w:rsid w:val="007E0621"/>
    <w:pPr>
      <w:ind w:left="720"/>
      <w:contextualSpacing/>
    </w:pPr>
  </w:style>
  <w:style w:type="table" w:styleId="TableGrid">
    <w:name w:val="Table Grid"/>
    <w:basedOn w:val="TableNormal"/>
    <w:uiPriority w:val="59"/>
    <w:rsid w:val="007E06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E0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621"/>
  </w:style>
  <w:style w:type="paragraph" w:styleId="BalloonText">
    <w:name w:val="Balloon Text"/>
    <w:basedOn w:val="Normal"/>
    <w:link w:val="BalloonTextChar"/>
    <w:uiPriority w:val="99"/>
    <w:semiHidden/>
    <w:unhideWhenUsed/>
    <w:rsid w:val="00C20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barexam.org/" TargetMode="External"/><Relationship Id="rId13" Type="http://schemas.openxmlformats.org/officeDocument/2006/relationships/hyperlink" Target="http://www.pabarexam.org/non_bar_exam_admission/reciprocity.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ex.org/exams/mpt/" TargetMode="External"/><Relationship Id="rId12" Type="http://schemas.openxmlformats.org/officeDocument/2006/relationships/hyperlink" Target="http://www.pabarexam.org/non_bar_exam_admission/204_interpretation.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gistrar.camden.rutgers.edu/" TargetMode="External"/><Relationship Id="rId1" Type="http://schemas.openxmlformats.org/officeDocument/2006/relationships/numbering" Target="numbering.xml"/><Relationship Id="rId6" Type="http://schemas.openxmlformats.org/officeDocument/2006/relationships/hyperlink" Target="http://www.ncbex.org/exams/mee/" TargetMode="External"/><Relationship Id="rId11" Type="http://schemas.openxmlformats.org/officeDocument/2006/relationships/hyperlink" Target="http://www.pabarexam.org/non_bar_exam_admission/reciprocity.htm" TargetMode="External"/><Relationship Id="rId5" Type="http://schemas.openxmlformats.org/officeDocument/2006/relationships/hyperlink" Target="http://www.ncbex.org/exams/ube/" TargetMode="External"/><Relationship Id="rId15" Type="http://schemas.openxmlformats.org/officeDocument/2006/relationships/hyperlink" Target="http://www.ncbex.org/" TargetMode="External"/><Relationship Id="rId10" Type="http://schemas.openxmlformats.org/officeDocument/2006/relationships/hyperlink" Target="http://www.pabarexam.org/bar_admission_rules/204.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barexam.org/non_bar_exam_admission/reciprocity.htm" TargetMode="External"/><Relationship Id="rId14" Type="http://schemas.openxmlformats.org/officeDocument/2006/relationships/hyperlink" Target="http://www.courts.state.de.us/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Baker</dc:creator>
  <cp:keywords/>
  <dc:description/>
  <cp:lastModifiedBy>Angela Baker</cp:lastModifiedBy>
  <cp:revision>2</cp:revision>
  <cp:lastPrinted>2017-10-25T14:13:00Z</cp:lastPrinted>
  <dcterms:created xsi:type="dcterms:W3CDTF">2017-10-25T15:21:00Z</dcterms:created>
  <dcterms:modified xsi:type="dcterms:W3CDTF">2017-10-25T15:21:00Z</dcterms:modified>
</cp:coreProperties>
</file>